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50F3" w14:textId="77777777" w:rsidR="00561D78" w:rsidRDefault="00561D78" w:rsidP="00561D78">
      <w:pPr>
        <w:spacing w:after="0"/>
        <w:jc w:val="center"/>
        <w:rPr>
          <w:b/>
        </w:rPr>
      </w:pPr>
      <w:r w:rsidRPr="008A6E47">
        <w:rPr>
          <w:b/>
        </w:rPr>
        <w:t>Research in Imagery and Observation</w:t>
      </w:r>
    </w:p>
    <w:p w14:paraId="031241D7" w14:textId="4768A389" w:rsidR="00561D78" w:rsidRDefault="00561D78" w:rsidP="00561D78">
      <w:pPr>
        <w:spacing w:after="0"/>
        <w:jc w:val="center"/>
        <w:rPr>
          <w:b/>
        </w:rPr>
      </w:pPr>
      <w:r w:rsidRPr="008A6E47">
        <w:rPr>
          <w:b/>
        </w:rPr>
        <w:t>20</w:t>
      </w:r>
      <w:r>
        <w:rPr>
          <w:b/>
        </w:rPr>
        <w:t>21</w:t>
      </w:r>
      <w:r w:rsidRPr="008A6E47">
        <w:rPr>
          <w:b/>
        </w:rPr>
        <w:t xml:space="preserve"> </w:t>
      </w:r>
      <w:r>
        <w:rPr>
          <w:b/>
        </w:rPr>
        <w:t>Online Seminar Series</w:t>
      </w:r>
      <w:r w:rsidRPr="008A6E47">
        <w:rPr>
          <w:b/>
        </w:rPr>
        <w:t xml:space="preserve"> Schedule</w:t>
      </w:r>
    </w:p>
    <w:p w14:paraId="1456AC62" w14:textId="5C1FEC30" w:rsidR="0052090F" w:rsidRDefault="0052090F" w:rsidP="00561D78">
      <w:pPr>
        <w:spacing w:after="0"/>
        <w:jc w:val="center"/>
        <w:rPr>
          <w:b/>
        </w:rPr>
      </w:pPr>
    </w:p>
    <w:p w14:paraId="4FB4DD4E" w14:textId="76A2A07F" w:rsidR="0052090F" w:rsidRDefault="0052090F" w:rsidP="0052090F">
      <w:pPr>
        <w:spacing w:after="0"/>
      </w:pPr>
      <w:r w:rsidRPr="00742E09">
        <w:t xml:space="preserve">All presentations </w:t>
      </w:r>
      <w:proofErr w:type="gramStart"/>
      <w:r w:rsidRPr="00742E09">
        <w:t>are allocated</w:t>
      </w:r>
      <w:proofErr w:type="gramEnd"/>
      <w:r w:rsidRPr="00742E09">
        <w:t xml:space="preserve"> a </w:t>
      </w:r>
      <w:r w:rsidR="00742E09" w:rsidRPr="00742E09">
        <w:t>25-minute</w:t>
      </w:r>
      <w:r w:rsidRPr="00742E09">
        <w:t xml:space="preserve"> time slot</w:t>
      </w:r>
      <w:r w:rsidR="00742E09">
        <w:t xml:space="preserve"> (15 min presentation, 10 min</w:t>
      </w:r>
      <w:r w:rsidR="00742E09" w:rsidRPr="00742E09">
        <w:t xml:space="preserve"> Q&amp;A</w:t>
      </w:r>
      <w:r w:rsidR="00742E09">
        <w:t>)</w:t>
      </w:r>
      <w:r w:rsidR="00742E09" w:rsidRPr="00742E09">
        <w:t>.</w:t>
      </w:r>
    </w:p>
    <w:p w14:paraId="1DA90D41" w14:textId="1B14CE59" w:rsidR="00742E09" w:rsidRPr="00742E09" w:rsidRDefault="00742E09" w:rsidP="0052090F">
      <w:pPr>
        <w:spacing w:after="0"/>
      </w:pPr>
      <w:r w:rsidRPr="00742E09">
        <w:t xml:space="preserve">We will be hosting all sessions via Zoom. </w:t>
      </w:r>
      <w:r w:rsidR="00B11529">
        <w:t>Please check your email</w:t>
      </w:r>
      <w:r w:rsidR="00D55560">
        <w:t xml:space="preserve">s for the Zoom link and password to join the sessions. </w:t>
      </w:r>
      <w:r w:rsidR="009824C0">
        <w:t>Alternatively,</w:t>
      </w:r>
      <w:r w:rsidR="00D55560">
        <w:t xml:space="preserve"> you can email one of the RIO organisers to request the link and password (</w:t>
      </w:r>
      <w:hyperlink r:id="rId4" w:history="1">
        <w:r w:rsidR="00D55560" w:rsidRPr="00142DDC">
          <w:rPr>
            <w:rStyle w:val="Hyperlink"/>
          </w:rPr>
          <w:t>d.j.wright@mmu.ac.uk</w:t>
        </w:r>
      </w:hyperlink>
      <w:r w:rsidR="00D55560">
        <w:t xml:space="preserve">; </w:t>
      </w:r>
      <w:hyperlink r:id="rId5" w:history="1">
        <w:r w:rsidR="000C1C3B" w:rsidRPr="009D766E">
          <w:rPr>
            <w:rStyle w:val="Hyperlink"/>
          </w:rPr>
          <w:t>adam.bruton@roehampton.ac.uk</w:t>
        </w:r>
      </w:hyperlink>
      <w:r w:rsidR="00D55560">
        <w:t xml:space="preserve">; </w:t>
      </w:r>
      <w:hyperlink r:id="rId6" w:history="1">
        <w:r w:rsidR="00D55560" w:rsidRPr="00142DDC">
          <w:rPr>
            <w:rStyle w:val="Hyperlink"/>
          </w:rPr>
          <w:t>cornelia.frank@uni-osnabrueck.de</w:t>
        </w:r>
      </w:hyperlink>
      <w:r w:rsidR="00D55560">
        <w:t xml:space="preserve">; </w:t>
      </w:r>
      <w:hyperlink r:id="rId7" w:history="1">
        <w:r w:rsidR="00D55560" w:rsidRPr="00142DDC">
          <w:rPr>
            <w:rStyle w:val="Hyperlink"/>
          </w:rPr>
          <w:t>d.eaves@tees.ac.uk</w:t>
        </w:r>
      </w:hyperlink>
      <w:r w:rsidR="00D55560">
        <w:t xml:space="preserve">) </w:t>
      </w:r>
    </w:p>
    <w:p w14:paraId="6E747420" w14:textId="77777777" w:rsidR="00561D78" w:rsidRDefault="00561D78" w:rsidP="00561D78">
      <w:pPr>
        <w:spacing w:after="0"/>
        <w:rPr>
          <w:b/>
        </w:rPr>
      </w:pPr>
    </w:p>
    <w:p w14:paraId="0497D11D" w14:textId="4751C1BD" w:rsidR="005D0194" w:rsidRDefault="00561D78">
      <w:pPr>
        <w:rPr>
          <w:b/>
        </w:rPr>
      </w:pPr>
      <w:r>
        <w:rPr>
          <w:b/>
        </w:rPr>
        <w:t>Friday 26</w:t>
      </w:r>
      <w:r w:rsidRPr="00561D78">
        <w:rPr>
          <w:b/>
          <w:vertAlign w:val="superscript"/>
        </w:rPr>
        <w:t>th</w:t>
      </w:r>
      <w:r>
        <w:rPr>
          <w:b/>
        </w:rPr>
        <w:t xml:space="preserve"> February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8B4407" w14:paraId="1D48A7BD" w14:textId="04D892CB" w:rsidTr="007F1060">
        <w:tc>
          <w:tcPr>
            <w:tcW w:w="1271" w:type="dxa"/>
          </w:tcPr>
          <w:p w14:paraId="4F3DF5B7" w14:textId="77777777" w:rsidR="008B4407" w:rsidRDefault="008B4407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14:paraId="17083F74" w14:textId="77777777" w:rsidR="008B4407" w:rsidRDefault="008B4407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(UK Time)</w:t>
            </w:r>
          </w:p>
        </w:tc>
        <w:tc>
          <w:tcPr>
            <w:tcW w:w="9214" w:type="dxa"/>
          </w:tcPr>
          <w:p w14:paraId="3277140B" w14:textId="77777777" w:rsidR="008B4407" w:rsidRDefault="008B4407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8B4407" w14:paraId="5E30C2BE" w14:textId="01CC2EC3" w:rsidTr="007F1060">
        <w:tc>
          <w:tcPr>
            <w:tcW w:w="1271" w:type="dxa"/>
          </w:tcPr>
          <w:p w14:paraId="0757CAEA" w14:textId="40E4D3E3" w:rsidR="008B4407" w:rsidRPr="00561D78" w:rsidRDefault="008B4407" w:rsidP="009322B0">
            <w:pPr>
              <w:spacing w:line="240" w:lineRule="auto"/>
            </w:pPr>
            <w:r w:rsidRPr="00561D78">
              <w:t>2.</w:t>
            </w:r>
            <w:r w:rsidR="009322B0">
              <w:t>00</w:t>
            </w:r>
            <w:r>
              <w:t xml:space="preserve"> – 2.30</w:t>
            </w:r>
          </w:p>
        </w:tc>
        <w:tc>
          <w:tcPr>
            <w:tcW w:w="9214" w:type="dxa"/>
          </w:tcPr>
          <w:p w14:paraId="4E1030E6" w14:textId="6F468B49" w:rsidR="008B4407" w:rsidRPr="00561D78" w:rsidRDefault="008B4407" w:rsidP="008B4407">
            <w:pPr>
              <w:spacing w:line="240" w:lineRule="auto"/>
            </w:pPr>
            <w:r w:rsidRPr="00561D78">
              <w:t>Welcome and Introduction</w:t>
            </w:r>
          </w:p>
        </w:tc>
      </w:tr>
      <w:tr w:rsidR="008B4407" w14:paraId="18A67DE4" w14:textId="67B21599" w:rsidTr="007F1060">
        <w:tc>
          <w:tcPr>
            <w:tcW w:w="1271" w:type="dxa"/>
            <w:shd w:val="clear" w:color="auto" w:fill="auto"/>
          </w:tcPr>
          <w:p w14:paraId="7260F9CB" w14:textId="23BCF496" w:rsidR="008B4407" w:rsidRPr="005A09F2" w:rsidRDefault="008B4407" w:rsidP="008B4407">
            <w:pPr>
              <w:spacing w:line="240" w:lineRule="auto"/>
            </w:pPr>
            <w:r>
              <w:t>2.30 – 2.55</w:t>
            </w:r>
          </w:p>
        </w:tc>
        <w:tc>
          <w:tcPr>
            <w:tcW w:w="9214" w:type="dxa"/>
            <w:shd w:val="clear" w:color="auto" w:fill="auto"/>
          </w:tcPr>
          <w:p w14:paraId="4D9C7AD4" w14:textId="120424E3" w:rsidR="008B4407" w:rsidRDefault="008B4407" w:rsidP="008B4407">
            <w:pPr>
              <w:spacing w:line="240" w:lineRule="auto"/>
            </w:pPr>
            <w:proofErr w:type="spellStart"/>
            <w:r w:rsidRPr="00976404">
              <w:rPr>
                <w:b/>
              </w:rPr>
              <w:t>Eoghan</w:t>
            </w:r>
            <w:proofErr w:type="spellEnd"/>
            <w:r w:rsidRPr="00976404">
              <w:rPr>
                <w:b/>
              </w:rPr>
              <w:t xml:space="preserve"> McNeill</w:t>
            </w:r>
            <w:r w:rsidR="0042034B" w:rsidRPr="0042034B">
              <w:rPr>
                <w:vertAlign w:val="superscript"/>
              </w:rPr>
              <w:t>1,2</w:t>
            </w:r>
            <w:r>
              <w:t>, Niall Ramsbottom</w:t>
            </w:r>
            <w:r w:rsidR="004A7428" w:rsidRPr="004A7428">
              <w:rPr>
                <w:vertAlign w:val="superscript"/>
              </w:rPr>
              <w:t>2</w:t>
            </w:r>
            <w:r>
              <w:t>, Mark Campbell</w:t>
            </w:r>
            <w:r w:rsidR="004A7428" w:rsidRPr="004A7428">
              <w:rPr>
                <w:vertAlign w:val="superscript"/>
              </w:rPr>
              <w:t>2</w:t>
            </w:r>
            <w:r>
              <w:t>, Adam Toth</w:t>
            </w:r>
            <w:r w:rsidR="004A7428">
              <w:rPr>
                <w:vertAlign w:val="superscript"/>
              </w:rPr>
              <w:t>2</w:t>
            </w:r>
          </w:p>
          <w:p w14:paraId="495F3B45" w14:textId="0AE36B5E" w:rsidR="0042034B" w:rsidRPr="0042034B" w:rsidRDefault="0042034B" w:rsidP="008B4407">
            <w:pPr>
              <w:spacing w:line="240" w:lineRule="auto"/>
            </w:pPr>
            <w:r w:rsidRPr="0042034B">
              <w:rPr>
                <w:vertAlign w:val="superscript"/>
              </w:rPr>
              <w:t>1</w:t>
            </w:r>
            <w:r>
              <w:t xml:space="preserve">Athlone Institute of Technology, </w:t>
            </w:r>
            <w:r w:rsidRPr="0042034B">
              <w:rPr>
                <w:vertAlign w:val="superscript"/>
              </w:rPr>
              <w:t>2</w:t>
            </w:r>
            <w:r>
              <w:t>University of Limerick</w:t>
            </w:r>
          </w:p>
          <w:p w14:paraId="0D5BDFD4" w14:textId="0720FDD2" w:rsidR="008B4407" w:rsidRPr="005A09F2" w:rsidRDefault="008B4407" w:rsidP="008B4407">
            <w:pPr>
              <w:spacing w:after="0" w:line="240" w:lineRule="auto"/>
            </w:pPr>
            <w:r w:rsidRPr="005A09F2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otor imagery during a</w:t>
            </w:r>
            <w:r w:rsidRPr="005A09F2">
              <w:rPr>
                <w:rFonts w:ascii="Calibri" w:hAnsi="Calibri" w:cs="Calibri"/>
              </w:rPr>
              <w:t xml:space="preserve">ction </w:t>
            </w:r>
            <w:r>
              <w:rPr>
                <w:rFonts w:ascii="Calibri" w:hAnsi="Calibri" w:cs="Calibri"/>
              </w:rPr>
              <w:t>o</w:t>
            </w:r>
            <w:r w:rsidRPr="005A09F2">
              <w:rPr>
                <w:rFonts w:ascii="Calibri" w:hAnsi="Calibri" w:cs="Calibri"/>
              </w:rPr>
              <w:t xml:space="preserve">bservation </w:t>
            </w:r>
            <w:r>
              <w:rPr>
                <w:rFonts w:ascii="Calibri" w:hAnsi="Calibri" w:cs="Calibri"/>
              </w:rPr>
              <w:t>e</w:t>
            </w:r>
            <w:r w:rsidRPr="005A09F2">
              <w:rPr>
                <w:rFonts w:ascii="Calibri" w:hAnsi="Calibri" w:cs="Calibri"/>
              </w:rPr>
              <w:t xml:space="preserve">nhances </w:t>
            </w:r>
            <w:r>
              <w:rPr>
                <w:rFonts w:ascii="Calibri" w:hAnsi="Calibri" w:cs="Calibri"/>
              </w:rPr>
              <w:t>s</w:t>
            </w:r>
            <w:r w:rsidRPr="005A09F2">
              <w:rPr>
                <w:rFonts w:ascii="Calibri" w:hAnsi="Calibri" w:cs="Calibri"/>
              </w:rPr>
              <w:t xml:space="preserve">ensorimotor </w:t>
            </w:r>
            <w:r>
              <w:rPr>
                <w:rFonts w:ascii="Calibri" w:hAnsi="Calibri" w:cs="Calibri"/>
              </w:rPr>
              <w:t>p</w:t>
            </w:r>
            <w:r w:rsidRPr="005A09F2">
              <w:rPr>
                <w:rFonts w:ascii="Calibri" w:hAnsi="Calibri" w:cs="Calibri"/>
              </w:rPr>
              <w:t xml:space="preserve">erformance in </w:t>
            </w:r>
            <w:r>
              <w:rPr>
                <w:rFonts w:ascii="Calibri" w:hAnsi="Calibri" w:cs="Calibri"/>
              </w:rPr>
              <w:t>high s</w:t>
            </w:r>
            <w:r w:rsidRPr="005A09F2">
              <w:rPr>
                <w:rFonts w:ascii="Calibri" w:hAnsi="Calibri" w:cs="Calibri"/>
              </w:rPr>
              <w:t xml:space="preserve">killed </w:t>
            </w:r>
            <w:r>
              <w:rPr>
                <w:rFonts w:ascii="Calibri" w:hAnsi="Calibri" w:cs="Calibri"/>
              </w:rPr>
              <w:t>p</w:t>
            </w:r>
            <w:r w:rsidRPr="005A09F2">
              <w:rPr>
                <w:rFonts w:ascii="Calibri" w:hAnsi="Calibri" w:cs="Calibri"/>
              </w:rPr>
              <w:t xml:space="preserve">erformers but </w:t>
            </w:r>
            <w:r>
              <w:rPr>
                <w:rFonts w:ascii="Calibri" w:hAnsi="Calibri" w:cs="Calibri"/>
              </w:rPr>
              <w:t>n</w:t>
            </w:r>
            <w:r w:rsidRPr="005A09F2">
              <w:rPr>
                <w:rFonts w:ascii="Calibri" w:hAnsi="Calibri" w:cs="Calibri"/>
              </w:rPr>
              <w:t xml:space="preserve">ot in </w:t>
            </w:r>
            <w:r>
              <w:rPr>
                <w:rFonts w:ascii="Calibri" w:hAnsi="Calibri" w:cs="Calibri"/>
              </w:rPr>
              <w:t>low-s</w:t>
            </w:r>
            <w:r w:rsidRPr="005A09F2">
              <w:rPr>
                <w:rFonts w:ascii="Calibri" w:hAnsi="Calibri" w:cs="Calibri"/>
              </w:rPr>
              <w:t xml:space="preserve">killed </w:t>
            </w:r>
            <w:r>
              <w:rPr>
                <w:rFonts w:ascii="Calibri" w:hAnsi="Calibri" w:cs="Calibri"/>
              </w:rPr>
              <w:t>p</w:t>
            </w:r>
            <w:r w:rsidRPr="005A09F2">
              <w:rPr>
                <w:rFonts w:ascii="Calibri" w:hAnsi="Calibri" w:cs="Calibri"/>
              </w:rPr>
              <w:t>erformers</w:t>
            </w:r>
          </w:p>
        </w:tc>
      </w:tr>
      <w:tr w:rsidR="008B4407" w14:paraId="0EC9BE60" w14:textId="5755B042" w:rsidTr="007F1060">
        <w:tc>
          <w:tcPr>
            <w:tcW w:w="1271" w:type="dxa"/>
            <w:shd w:val="clear" w:color="auto" w:fill="auto"/>
          </w:tcPr>
          <w:p w14:paraId="46385E4F" w14:textId="1A5D7FCA" w:rsidR="008B4407" w:rsidRPr="005A09F2" w:rsidRDefault="008B4407" w:rsidP="008B4407">
            <w:pPr>
              <w:spacing w:line="240" w:lineRule="auto"/>
            </w:pPr>
            <w:r>
              <w:t>3.00 – 3.25</w:t>
            </w:r>
          </w:p>
        </w:tc>
        <w:tc>
          <w:tcPr>
            <w:tcW w:w="9214" w:type="dxa"/>
            <w:shd w:val="clear" w:color="auto" w:fill="auto"/>
          </w:tcPr>
          <w:p w14:paraId="3EB29954" w14:textId="340C1486" w:rsidR="008B4407" w:rsidRDefault="008B4407" w:rsidP="008B4407">
            <w:pPr>
              <w:spacing w:line="240" w:lineRule="auto"/>
            </w:pPr>
            <w:r w:rsidRPr="00976404">
              <w:rPr>
                <w:b/>
              </w:rPr>
              <w:t xml:space="preserve">Pia </w:t>
            </w:r>
            <w:proofErr w:type="spellStart"/>
            <w:r w:rsidRPr="00976404">
              <w:rPr>
                <w:b/>
              </w:rPr>
              <w:t>Vinken</w:t>
            </w:r>
            <w:proofErr w:type="spellEnd"/>
            <w:r>
              <w:t xml:space="preserve">, Lia </w:t>
            </w:r>
            <w:proofErr w:type="spellStart"/>
            <w:r>
              <w:t>Bernewitz</w:t>
            </w:r>
            <w:proofErr w:type="spellEnd"/>
          </w:p>
          <w:p w14:paraId="4E7C1F7D" w14:textId="0AD0CAD7" w:rsidR="0042034B" w:rsidRPr="00976404" w:rsidRDefault="0042034B" w:rsidP="008B4407">
            <w:pPr>
              <w:spacing w:line="240" w:lineRule="auto"/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Georg-August University of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Göttingen</w:t>
            </w:r>
            <w:proofErr w:type="spellEnd"/>
          </w:p>
          <w:p w14:paraId="7C4C1B8C" w14:textId="64B0FA90" w:rsidR="008B4407" w:rsidRPr="005A09F2" w:rsidRDefault="008B4407" w:rsidP="008B4407">
            <w:pPr>
              <w:spacing w:after="0" w:line="240" w:lineRule="auto"/>
            </w:pPr>
            <w:r w:rsidRPr="005A09F2">
              <w:t>The role of body angles on the aesthetic perception of gymnastic body postures</w:t>
            </w:r>
          </w:p>
        </w:tc>
      </w:tr>
      <w:tr w:rsidR="008B4407" w14:paraId="634BA79D" w14:textId="77777777" w:rsidTr="007F1060">
        <w:tc>
          <w:tcPr>
            <w:tcW w:w="1271" w:type="dxa"/>
            <w:shd w:val="clear" w:color="auto" w:fill="auto"/>
          </w:tcPr>
          <w:p w14:paraId="491BBD71" w14:textId="540F6011" w:rsidR="008B4407" w:rsidRDefault="008B4407" w:rsidP="008B4407">
            <w:pPr>
              <w:spacing w:line="240" w:lineRule="auto"/>
            </w:pPr>
            <w:r>
              <w:t>3.30 – 4.30</w:t>
            </w:r>
          </w:p>
        </w:tc>
        <w:tc>
          <w:tcPr>
            <w:tcW w:w="9214" w:type="dxa"/>
            <w:shd w:val="clear" w:color="auto" w:fill="auto"/>
          </w:tcPr>
          <w:p w14:paraId="346B05BA" w14:textId="2397608F" w:rsidR="008B4407" w:rsidRDefault="008B4407" w:rsidP="008B4407">
            <w:r>
              <w:rPr>
                <w:b/>
              </w:rPr>
              <w:t xml:space="preserve">Diane Ste-Marie </w:t>
            </w:r>
            <w:r>
              <w:t>(Invited speaker)</w:t>
            </w:r>
          </w:p>
          <w:p w14:paraId="016003FA" w14:textId="5B853FDF" w:rsidR="0042034B" w:rsidRPr="00976404" w:rsidRDefault="0042034B" w:rsidP="008B4407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University of Ottawa</w:t>
            </w:r>
          </w:p>
          <w:p w14:paraId="483F7DBA" w14:textId="08C7859E" w:rsidR="008B4407" w:rsidRPr="005A09F2" w:rsidRDefault="008B4407" w:rsidP="008B4407">
            <w:pPr>
              <w:spacing w:after="0"/>
            </w:pPr>
            <w:r>
              <w:t>The Applied Model for the use of observation: Past, present, and future</w:t>
            </w:r>
          </w:p>
        </w:tc>
      </w:tr>
    </w:tbl>
    <w:p w14:paraId="6C992DBB" w14:textId="77777777" w:rsidR="00561D78" w:rsidRDefault="00561D78">
      <w:pPr>
        <w:rPr>
          <w:b/>
        </w:rPr>
      </w:pPr>
    </w:p>
    <w:p w14:paraId="4B7C5C5D" w14:textId="74AA9F51" w:rsidR="00561D78" w:rsidRDefault="00561D78">
      <w:pPr>
        <w:rPr>
          <w:b/>
        </w:rPr>
      </w:pPr>
      <w:r>
        <w:rPr>
          <w:b/>
        </w:rPr>
        <w:t>Friday 5</w:t>
      </w:r>
      <w:r w:rsidRPr="00561D78">
        <w:rPr>
          <w:b/>
          <w:vertAlign w:val="superscript"/>
        </w:rPr>
        <w:t>th</w:t>
      </w:r>
      <w:r>
        <w:rPr>
          <w:b/>
        </w:rPr>
        <w:t xml:space="preserve"> March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9214"/>
      </w:tblGrid>
      <w:tr w:rsidR="008B4407" w14:paraId="1A644EC5" w14:textId="620B2D6B" w:rsidTr="007F1060">
        <w:tc>
          <w:tcPr>
            <w:tcW w:w="1271" w:type="dxa"/>
          </w:tcPr>
          <w:p w14:paraId="7CF03851" w14:textId="77777777" w:rsidR="008B4407" w:rsidRDefault="008B4407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14:paraId="26AD8825" w14:textId="77777777" w:rsidR="008B4407" w:rsidRDefault="008B4407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(UK Time)</w:t>
            </w:r>
          </w:p>
        </w:tc>
        <w:tc>
          <w:tcPr>
            <w:tcW w:w="9214" w:type="dxa"/>
          </w:tcPr>
          <w:p w14:paraId="6A4CABB6" w14:textId="77777777" w:rsidR="008B4407" w:rsidRDefault="008B4407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8B4407" w14:paraId="4326F92B" w14:textId="1172CA45" w:rsidTr="007F1060">
        <w:tc>
          <w:tcPr>
            <w:tcW w:w="1271" w:type="dxa"/>
          </w:tcPr>
          <w:p w14:paraId="152E9364" w14:textId="77777777" w:rsidR="008B4407" w:rsidRPr="00561D78" w:rsidRDefault="008B4407" w:rsidP="00B87611">
            <w:pPr>
              <w:spacing w:line="240" w:lineRule="auto"/>
            </w:pPr>
            <w:r w:rsidRPr="00561D78">
              <w:t>2.00 – 2.15</w:t>
            </w:r>
          </w:p>
        </w:tc>
        <w:tc>
          <w:tcPr>
            <w:tcW w:w="9214" w:type="dxa"/>
          </w:tcPr>
          <w:p w14:paraId="36D9232B" w14:textId="77777777" w:rsidR="008B4407" w:rsidRPr="005A09F2" w:rsidRDefault="008B4407" w:rsidP="00B87611">
            <w:pPr>
              <w:spacing w:line="240" w:lineRule="auto"/>
            </w:pPr>
            <w:r w:rsidRPr="005A09F2">
              <w:t>Welcome and Introduction</w:t>
            </w:r>
          </w:p>
        </w:tc>
      </w:tr>
      <w:tr w:rsidR="008B4407" w14:paraId="09027948" w14:textId="049B350E" w:rsidTr="007F1060">
        <w:tc>
          <w:tcPr>
            <w:tcW w:w="1271" w:type="dxa"/>
          </w:tcPr>
          <w:p w14:paraId="4931CA93" w14:textId="3167B3E7" w:rsidR="008B4407" w:rsidRPr="00561D78" w:rsidRDefault="00FD25D1" w:rsidP="00B87611">
            <w:pPr>
              <w:spacing w:line="240" w:lineRule="auto"/>
            </w:pPr>
            <w:r>
              <w:t>2.15 – 2.40</w:t>
            </w:r>
          </w:p>
        </w:tc>
        <w:tc>
          <w:tcPr>
            <w:tcW w:w="9214" w:type="dxa"/>
          </w:tcPr>
          <w:p w14:paraId="3928D118" w14:textId="58891142" w:rsidR="008B4407" w:rsidRPr="00B86D33" w:rsidRDefault="008B4407" w:rsidP="00B87611">
            <w:pPr>
              <w:spacing w:line="240" w:lineRule="auto"/>
            </w:pPr>
            <w:r w:rsidRPr="008B4407">
              <w:rPr>
                <w:b/>
              </w:rPr>
              <w:t>Amit Abraham</w:t>
            </w:r>
            <w:r w:rsidR="00B86D33" w:rsidRPr="00B86D33">
              <w:rPr>
                <w:vertAlign w:val="superscript"/>
              </w:rPr>
              <w:t>1</w:t>
            </w:r>
            <w:r w:rsidR="00B86D33">
              <w:t>, Eric Franklin</w:t>
            </w:r>
            <w:r w:rsidR="00B86D33" w:rsidRPr="00B86D33">
              <w:rPr>
                <w:vertAlign w:val="superscript"/>
              </w:rPr>
              <w:t>2</w:t>
            </w:r>
          </w:p>
          <w:p w14:paraId="17241D17" w14:textId="2619A096" w:rsidR="0042034B" w:rsidRPr="0042034B" w:rsidRDefault="00B86D33" w:rsidP="00B87611">
            <w:pPr>
              <w:spacing w:line="240" w:lineRule="auto"/>
            </w:pPr>
            <w:r w:rsidRPr="00B86D33">
              <w:rPr>
                <w:vertAlign w:val="superscript"/>
              </w:rPr>
              <w:t>1</w:t>
            </w:r>
            <w:r w:rsidR="0042034B">
              <w:t>Ariel University</w:t>
            </w:r>
            <w:r>
              <w:t xml:space="preserve">, </w:t>
            </w:r>
            <w:r w:rsidRPr="00B86D33">
              <w:rPr>
                <w:vertAlign w:val="superscript"/>
              </w:rPr>
              <w:t>2</w:t>
            </w:r>
            <w:r>
              <w:t>International Institute for the Franklin Method</w:t>
            </w:r>
          </w:p>
          <w:p w14:paraId="16279EC4" w14:textId="6101B1FF" w:rsidR="008B4407" w:rsidRPr="005A09F2" w:rsidRDefault="008B4407" w:rsidP="008B440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The role of dynamic Neuro-Cognitive Imagery (aka “the Franklin Method”) in enhancing body schema in people with Parkinson Disease</w:t>
            </w:r>
          </w:p>
        </w:tc>
      </w:tr>
      <w:tr w:rsidR="008B4407" w14:paraId="6BAD91B4" w14:textId="5EE534B6" w:rsidTr="007F1060">
        <w:tc>
          <w:tcPr>
            <w:tcW w:w="1271" w:type="dxa"/>
          </w:tcPr>
          <w:p w14:paraId="3EF37BD9" w14:textId="6929BDBF" w:rsidR="008B4407" w:rsidRPr="00561D78" w:rsidRDefault="008B4407" w:rsidP="00FD25D1">
            <w:pPr>
              <w:spacing w:line="240" w:lineRule="auto"/>
            </w:pPr>
            <w:r w:rsidRPr="00561D78">
              <w:t>2.45 – 3.1</w:t>
            </w:r>
            <w:r w:rsidR="00FD25D1">
              <w:t>0</w:t>
            </w:r>
          </w:p>
        </w:tc>
        <w:tc>
          <w:tcPr>
            <w:tcW w:w="9214" w:type="dxa"/>
          </w:tcPr>
          <w:p w14:paraId="51B19605" w14:textId="5A6D106E" w:rsidR="008B4407" w:rsidRDefault="008B4407" w:rsidP="00B87611">
            <w:pPr>
              <w:spacing w:line="240" w:lineRule="auto"/>
              <w:rPr>
                <w:rFonts w:ascii="Calibri" w:hAnsi="Calibri" w:cs="Calibri"/>
              </w:rPr>
            </w:pPr>
            <w:r w:rsidRPr="008B4407">
              <w:rPr>
                <w:rFonts w:ascii="Calibri" w:hAnsi="Calibri" w:cs="Calibri"/>
                <w:b/>
              </w:rPr>
              <w:t>Vasiliki Meletaki</w:t>
            </w:r>
            <w:r>
              <w:rPr>
                <w:rFonts w:ascii="Calibri" w:hAnsi="Calibri" w:cs="Calibri"/>
              </w:rPr>
              <w:t xml:space="preserve">, Bettina Forster, Beatriz </w:t>
            </w:r>
            <w:proofErr w:type="spellStart"/>
            <w:r>
              <w:rPr>
                <w:rFonts w:ascii="Calibri" w:hAnsi="Calibri" w:cs="Calibri"/>
              </w:rPr>
              <w:t>Calvo</w:t>
            </w:r>
            <w:proofErr w:type="spellEnd"/>
            <w:r>
              <w:rPr>
                <w:rFonts w:ascii="Calibri" w:hAnsi="Calibri" w:cs="Calibri"/>
              </w:rPr>
              <w:t>-Merino</w:t>
            </w:r>
          </w:p>
          <w:p w14:paraId="251C389C" w14:textId="53353331" w:rsidR="0042034B" w:rsidRPr="008B4407" w:rsidRDefault="0042034B" w:rsidP="00B8761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City, University of London</w:t>
            </w:r>
          </w:p>
          <w:p w14:paraId="2B4E089F" w14:textId="24D51B8E" w:rsidR="008B4407" w:rsidRPr="005A09F2" w:rsidRDefault="008B4407" w:rsidP="008B4407">
            <w:pPr>
              <w:spacing w:after="0" w:line="240" w:lineRule="auto"/>
            </w:pPr>
            <w:r w:rsidRPr="005A09F2">
              <w:rPr>
                <w:rFonts w:ascii="Calibri" w:hAnsi="Calibri" w:cs="Calibri"/>
              </w:rPr>
              <w:t>Dance expertise modulates emotion sensitivity: Insights from face processing and embodied cognition using somatosensory evoked potentials</w:t>
            </w:r>
          </w:p>
        </w:tc>
      </w:tr>
      <w:tr w:rsidR="008B4407" w14:paraId="54605BE3" w14:textId="72EC5D58" w:rsidTr="007F1060">
        <w:tc>
          <w:tcPr>
            <w:tcW w:w="1271" w:type="dxa"/>
          </w:tcPr>
          <w:p w14:paraId="7CBB8D57" w14:textId="1C8F96BF" w:rsidR="008B4407" w:rsidRPr="00561D78" w:rsidRDefault="008B4407" w:rsidP="00B87611">
            <w:pPr>
              <w:spacing w:line="240" w:lineRule="auto"/>
            </w:pPr>
            <w:r w:rsidRPr="00561D78">
              <w:t>3.15 –</w:t>
            </w:r>
            <w:r w:rsidR="00FD25D1">
              <w:t xml:space="preserve"> 3.40</w:t>
            </w:r>
          </w:p>
        </w:tc>
        <w:tc>
          <w:tcPr>
            <w:tcW w:w="9214" w:type="dxa"/>
          </w:tcPr>
          <w:p w14:paraId="1E8ED2FB" w14:textId="4F97F6A7" w:rsidR="008B4407" w:rsidRDefault="008B4407" w:rsidP="00B87611">
            <w:pPr>
              <w:spacing w:line="240" w:lineRule="auto"/>
            </w:pPr>
            <w:r w:rsidRPr="008B4407">
              <w:rPr>
                <w:b/>
              </w:rPr>
              <w:t>Manuel Mello</w:t>
            </w:r>
            <w:r w:rsidR="0042034B">
              <w:t xml:space="preserve">, Martina </w:t>
            </w:r>
            <w:proofErr w:type="spellStart"/>
            <w:r w:rsidR="0042034B">
              <w:t>Fusaro</w:t>
            </w:r>
            <w:proofErr w:type="spellEnd"/>
            <w:r w:rsidR="0042034B">
              <w:t xml:space="preserve">, Gaetano </w:t>
            </w:r>
            <w:proofErr w:type="spellStart"/>
            <w:r w:rsidR="0042034B">
              <w:t>Tieri</w:t>
            </w:r>
            <w:proofErr w:type="spellEnd"/>
          </w:p>
          <w:p w14:paraId="13DE37B1" w14:textId="7A201707" w:rsidR="0042034B" w:rsidRPr="008B4407" w:rsidRDefault="0042034B" w:rsidP="00B87611">
            <w:pPr>
              <w:spacing w:line="240" w:lineRule="auto"/>
            </w:pPr>
            <w:r>
              <w:t>University of Rome La Sapienza</w:t>
            </w:r>
          </w:p>
          <w:p w14:paraId="67E4ECE1" w14:textId="6840AA18" w:rsidR="008B4407" w:rsidRPr="005A09F2" w:rsidRDefault="008B4407" w:rsidP="008B4407">
            <w:pPr>
              <w:spacing w:after="0" w:line="240" w:lineRule="auto"/>
            </w:pPr>
            <w:r w:rsidRPr="005A09F2">
              <w:t>Interpersonal touch during sex-related body swap</w:t>
            </w:r>
          </w:p>
        </w:tc>
      </w:tr>
    </w:tbl>
    <w:p w14:paraId="06606227" w14:textId="055BFAB4" w:rsidR="00561D78" w:rsidRDefault="00561D78">
      <w:pPr>
        <w:rPr>
          <w:b/>
        </w:rPr>
      </w:pPr>
    </w:p>
    <w:p w14:paraId="34AD8815" w14:textId="004A6C6B" w:rsidR="007F1060" w:rsidRDefault="007F1060">
      <w:pPr>
        <w:rPr>
          <w:b/>
        </w:rPr>
      </w:pPr>
    </w:p>
    <w:p w14:paraId="422DEFBB" w14:textId="77777777" w:rsidR="007F1060" w:rsidRDefault="007F1060">
      <w:pPr>
        <w:rPr>
          <w:b/>
        </w:rPr>
      </w:pPr>
    </w:p>
    <w:p w14:paraId="3AA23933" w14:textId="786D7D7F" w:rsidR="00561D78" w:rsidRDefault="00561D78">
      <w:pPr>
        <w:rPr>
          <w:b/>
        </w:rPr>
      </w:pPr>
      <w:r>
        <w:rPr>
          <w:b/>
        </w:rPr>
        <w:t>Friday 12</w:t>
      </w:r>
      <w:r w:rsidRPr="00561D78">
        <w:rPr>
          <w:b/>
          <w:vertAlign w:val="superscript"/>
        </w:rPr>
        <w:t>th</w:t>
      </w:r>
      <w:r>
        <w:rPr>
          <w:b/>
        </w:rPr>
        <w:t xml:space="preserve"> March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42034B" w14:paraId="7CFBC073" w14:textId="522B0246" w:rsidTr="007F1060">
        <w:tc>
          <w:tcPr>
            <w:tcW w:w="1271" w:type="dxa"/>
          </w:tcPr>
          <w:p w14:paraId="7C793ADB" w14:textId="77777777" w:rsidR="0042034B" w:rsidRDefault="0042034B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14:paraId="51D3E1E3" w14:textId="77777777" w:rsidR="0042034B" w:rsidRDefault="0042034B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(UK Time)</w:t>
            </w:r>
          </w:p>
        </w:tc>
        <w:tc>
          <w:tcPr>
            <w:tcW w:w="9214" w:type="dxa"/>
          </w:tcPr>
          <w:p w14:paraId="488DA4E5" w14:textId="77777777" w:rsidR="0042034B" w:rsidRDefault="0042034B" w:rsidP="0045379C">
            <w:pPr>
              <w:spacing w:after="0"/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42034B" w14:paraId="069B0A7C" w14:textId="2DC29E55" w:rsidTr="007F1060">
        <w:tc>
          <w:tcPr>
            <w:tcW w:w="1271" w:type="dxa"/>
          </w:tcPr>
          <w:p w14:paraId="6113051F" w14:textId="77777777" w:rsidR="0042034B" w:rsidRPr="00561D78" w:rsidRDefault="0042034B" w:rsidP="00B87611">
            <w:pPr>
              <w:spacing w:line="240" w:lineRule="auto"/>
            </w:pPr>
            <w:r w:rsidRPr="00561D78">
              <w:t>2.00 – 2.15</w:t>
            </w:r>
          </w:p>
        </w:tc>
        <w:tc>
          <w:tcPr>
            <w:tcW w:w="9214" w:type="dxa"/>
          </w:tcPr>
          <w:p w14:paraId="31B84E27" w14:textId="77777777" w:rsidR="0042034B" w:rsidRPr="00561D78" w:rsidRDefault="0042034B" w:rsidP="00B87611">
            <w:pPr>
              <w:spacing w:line="240" w:lineRule="auto"/>
            </w:pPr>
            <w:r w:rsidRPr="00561D78">
              <w:t>Welcome and Introduction</w:t>
            </w:r>
          </w:p>
        </w:tc>
      </w:tr>
      <w:tr w:rsidR="0042034B" w14:paraId="711A6981" w14:textId="3B8E2EA6" w:rsidTr="007F1060">
        <w:tc>
          <w:tcPr>
            <w:tcW w:w="1271" w:type="dxa"/>
          </w:tcPr>
          <w:p w14:paraId="04EDE222" w14:textId="59DC4B2A" w:rsidR="0042034B" w:rsidRPr="00561D78" w:rsidRDefault="00FD25D1" w:rsidP="00B87611">
            <w:pPr>
              <w:spacing w:line="240" w:lineRule="auto"/>
            </w:pPr>
            <w:r>
              <w:t>2.15 – 2.40</w:t>
            </w:r>
          </w:p>
        </w:tc>
        <w:tc>
          <w:tcPr>
            <w:tcW w:w="9214" w:type="dxa"/>
          </w:tcPr>
          <w:p w14:paraId="32793679" w14:textId="0BA328D3" w:rsidR="0042034B" w:rsidRDefault="0042034B" w:rsidP="00B87611">
            <w:pP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 w:rsidRPr="008A37FE">
              <w:rPr>
                <w:b/>
              </w:rPr>
              <w:t>Dagmara Budnik-Przybylska</w:t>
            </w:r>
            <w:r w:rsidR="008A37FE" w:rsidRPr="008A37FE">
              <w:rPr>
                <w:vertAlign w:val="superscript"/>
              </w:rPr>
              <w:t>1</w:t>
            </w:r>
            <w:r w:rsidR="008A37FE">
              <w:t xml:space="preserve">, </w:t>
            </w:r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Adrian 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Kastrau</w:t>
            </w:r>
            <w:r w:rsidR="008A37FE" w:rsidRP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vertAlign w:val="superscript"/>
                <w:lang w:val="de-DE"/>
              </w:rPr>
              <w:t>2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, </w:t>
            </w:r>
            <w:proofErr w:type="spellStart"/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Patryk</w:t>
            </w:r>
            <w:proofErr w:type="spellEnd"/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 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Jasik</w:t>
            </w:r>
            <w:r w:rsidR="008A37FE" w:rsidRP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vertAlign w:val="superscript"/>
                <w:lang w:val="de-DE"/>
              </w:rPr>
              <w:t>2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, </w:t>
            </w:r>
            <w:proofErr w:type="spellStart"/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Łukasz</w:t>
            </w:r>
            <w:proofErr w:type="spellEnd"/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 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Doliński</w:t>
            </w:r>
            <w:r w:rsidR="008A37FE" w:rsidRP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vertAlign w:val="superscript"/>
                <w:lang w:val="de-DE"/>
              </w:rPr>
              <w:t>2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,</w:t>
            </w:r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 </w:t>
            </w:r>
            <w:proofErr w:type="spellStart"/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Paweł</w:t>
            </w:r>
            <w:proofErr w:type="spellEnd"/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 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Syty</w:t>
            </w:r>
            <w:r w:rsidR="008A37FE" w:rsidRP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vertAlign w:val="superscript"/>
                <w:lang w:val="de-DE"/>
              </w:rPr>
              <w:t>2</w:t>
            </w:r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, Karol 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Karasiewicz</w:t>
            </w:r>
            <w:r w:rsidR="008A37FE" w:rsidRP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vertAlign w:val="superscript"/>
                <w:lang w:val="de-DE"/>
              </w:rPr>
              <w:t>3</w:t>
            </w:r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, Maria 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Kaźmierczak</w:t>
            </w:r>
            <w:r w:rsidR="008A37FE" w:rsidRP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vertAlign w:val="superscript"/>
                <w:lang w:val="de-DE"/>
              </w:rPr>
              <w:t>1</w:t>
            </w:r>
            <w:r w:rsidR="008A37FE">
              <w:rPr>
                <w:rStyle w:val="normaltextrun"/>
              </w:rPr>
              <w:t>, M</w:t>
            </w:r>
            <w:proofErr w:type="spellStart"/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arta</w:t>
            </w:r>
            <w:proofErr w:type="spellEnd"/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 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Łabuda</w:t>
            </w:r>
            <w:r w:rsidR="008A37FE" w:rsidRP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vertAlign w:val="superscript"/>
                <w:lang w:val="de-DE"/>
              </w:rPr>
              <w:t>2</w:t>
            </w:r>
            <w:r w:rsidR="008A37F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, Jacek </w:t>
            </w:r>
            <w:r w:rsid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de-DE"/>
              </w:rPr>
              <w:t>Przybylski</w:t>
            </w:r>
            <w:r w:rsidR="008A37FE" w:rsidRPr="008A37FE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vertAlign w:val="superscript"/>
                <w:lang w:val="de-DE"/>
              </w:rPr>
              <w:t>1</w:t>
            </w:r>
          </w:p>
          <w:p w14:paraId="0D61EA3E" w14:textId="546F4702" w:rsidR="008A37FE" w:rsidRPr="005A09F2" w:rsidRDefault="008A37FE" w:rsidP="00B87611">
            <w:r w:rsidRPr="008A37FE">
              <w:rPr>
                <w:vertAlign w:val="superscript"/>
              </w:rPr>
              <w:t>1</w:t>
            </w:r>
            <w:r>
              <w:t xml:space="preserve">University of Gdansk, </w:t>
            </w:r>
            <w:r w:rsidRPr="008A37FE">
              <w:rPr>
                <w:vertAlign w:val="superscript"/>
              </w:rPr>
              <w:t>2</w:t>
            </w:r>
            <w:r>
              <w:t xml:space="preserve">Gdansk University of Technology, </w:t>
            </w:r>
            <w:r w:rsidRPr="008A37FE">
              <w:rPr>
                <w:vertAlign w:val="superscript"/>
              </w:rPr>
              <w:t>3</w:t>
            </w:r>
            <w:r>
              <w:t xml:space="preserve">University of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Szczecin</w:t>
            </w:r>
          </w:p>
          <w:p w14:paraId="33F24A55" w14:textId="6F2B83FD" w:rsidR="0042034B" w:rsidRPr="00561D78" w:rsidRDefault="0042034B" w:rsidP="0042034B">
            <w:pPr>
              <w:spacing w:after="0" w:line="240" w:lineRule="auto"/>
            </w:pPr>
            <w:r w:rsidRPr="005A09F2">
              <w:t>Imagery brain waves analysis in sport – Case study</w:t>
            </w:r>
          </w:p>
        </w:tc>
      </w:tr>
      <w:tr w:rsidR="0042034B" w14:paraId="7D3E86E6" w14:textId="1E14EBF4" w:rsidTr="007F1060">
        <w:tc>
          <w:tcPr>
            <w:tcW w:w="1271" w:type="dxa"/>
          </w:tcPr>
          <w:p w14:paraId="1D4E76C5" w14:textId="73708FDB" w:rsidR="0042034B" w:rsidRPr="00561D78" w:rsidRDefault="0042034B" w:rsidP="00FD25D1">
            <w:pPr>
              <w:spacing w:line="240" w:lineRule="auto"/>
            </w:pPr>
            <w:r w:rsidRPr="00561D78">
              <w:t>2.45 – 3.1</w:t>
            </w:r>
            <w:r w:rsidR="00FD25D1">
              <w:t>0</w:t>
            </w:r>
          </w:p>
        </w:tc>
        <w:tc>
          <w:tcPr>
            <w:tcW w:w="9214" w:type="dxa"/>
          </w:tcPr>
          <w:p w14:paraId="662F359C" w14:textId="3A8C101E" w:rsidR="0042034B" w:rsidRDefault="0042034B" w:rsidP="00B87611">
            <w:pPr>
              <w:spacing w:line="240" w:lineRule="auto"/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</w:pPr>
            <w:r w:rsidRPr="008A37FE">
              <w:rPr>
                <w:rFonts w:ascii="Calibri" w:hAnsi="Calibri" w:cs="Calibri"/>
                <w:b/>
              </w:rPr>
              <w:t>Stephan Dahm</w:t>
            </w:r>
            <w:r w:rsidR="008A37FE">
              <w:rPr>
                <w:rFonts w:ascii="Calibri" w:hAnsi="Calibri" w:cs="Calibri"/>
              </w:rPr>
              <w:t xml:space="preserve">, </w:t>
            </w:r>
            <w:r w:rsidR="008A37FE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de-DE"/>
              </w:rPr>
              <w:t>Matthias Weigelt, Martina Rieger</w:t>
            </w:r>
          </w:p>
          <w:p w14:paraId="2A531A5A" w14:textId="75080724" w:rsidR="008A37FE" w:rsidRDefault="008A37FE" w:rsidP="00B8761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  <w:lang w:val="de-DE"/>
              </w:rPr>
              <w:t xml:space="preserve">UMIT, The </w:t>
            </w:r>
            <w:proofErr w:type="spellStart"/>
            <w:r>
              <w:rPr>
                <w:rStyle w:val="normaltextrun"/>
                <w:color w:val="000000"/>
                <w:bdr w:val="none" w:sz="0" w:space="0" w:color="auto" w:frame="1"/>
                <w:lang w:val="de-DE"/>
              </w:rPr>
              <w:t>Tyrolean</w:t>
            </w:r>
            <w:proofErr w:type="spellEnd"/>
            <w:r>
              <w:rPr>
                <w:rStyle w:val="normaltextrun"/>
                <w:color w:val="000000"/>
                <w:bdr w:val="none" w:sz="0" w:space="0" w:color="auto" w:frame="1"/>
                <w:lang w:val="de-DE"/>
              </w:rPr>
              <w:t xml:space="preserve"> Private University</w:t>
            </w:r>
          </w:p>
          <w:p w14:paraId="3C289DE7" w14:textId="77777777" w:rsidR="0042034B" w:rsidRPr="00561D78" w:rsidRDefault="0042034B" w:rsidP="0042034B">
            <w:pPr>
              <w:spacing w:after="0" w:line="240" w:lineRule="auto"/>
            </w:pPr>
            <w:r>
              <w:rPr>
                <w:rFonts w:ascii="Calibri" w:hAnsi="Calibri" w:cs="Calibri"/>
              </w:rPr>
              <w:t>Effector-dependent and effector-independent sequence learning in mental and physical practice</w:t>
            </w:r>
          </w:p>
        </w:tc>
      </w:tr>
      <w:tr w:rsidR="0042034B" w14:paraId="4EEE777D" w14:textId="311A2626" w:rsidTr="007F1060">
        <w:tc>
          <w:tcPr>
            <w:tcW w:w="1271" w:type="dxa"/>
          </w:tcPr>
          <w:p w14:paraId="62CA198B" w14:textId="4C5AB1B1" w:rsidR="0042034B" w:rsidRPr="00561D78" w:rsidRDefault="00FD25D1" w:rsidP="00B87611">
            <w:pPr>
              <w:spacing w:line="240" w:lineRule="auto"/>
            </w:pPr>
            <w:r>
              <w:t>3.15 – 3.40</w:t>
            </w:r>
          </w:p>
        </w:tc>
        <w:tc>
          <w:tcPr>
            <w:tcW w:w="9214" w:type="dxa"/>
          </w:tcPr>
          <w:p w14:paraId="7E42CA3A" w14:textId="104AFF4C" w:rsidR="0042034B" w:rsidRDefault="0042034B" w:rsidP="00B87611">
            <w:pPr>
              <w:spacing w:line="240" w:lineRule="auto"/>
              <w:rPr>
                <w:rFonts w:ascii="Calibri" w:hAnsi="Calibri" w:cs="Calibri"/>
              </w:rPr>
            </w:pPr>
            <w:r w:rsidRPr="008A37FE">
              <w:rPr>
                <w:rFonts w:ascii="Calibri" w:hAnsi="Calibri" w:cs="Calibri"/>
                <w:b/>
              </w:rPr>
              <w:t>Marie Martel</w:t>
            </w:r>
            <w:r w:rsidR="008A37FE">
              <w:rPr>
                <w:rFonts w:ascii="Calibri" w:hAnsi="Calibri" w:cs="Calibri"/>
              </w:rPr>
              <w:t>, Scott Glover</w:t>
            </w:r>
          </w:p>
          <w:p w14:paraId="2830C34E" w14:textId="21B48826" w:rsidR="008A37FE" w:rsidRDefault="008A37FE" w:rsidP="00B8761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Royal Holloway, University of London</w:t>
            </w:r>
          </w:p>
          <w:p w14:paraId="63550004" w14:textId="77777777" w:rsidR="0042034B" w:rsidRPr="00561D78" w:rsidRDefault="0042034B" w:rsidP="0042034B">
            <w:pPr>
              <w:spacing w:after="0" w:line="240" w:lineRule="auto"/>
            </w:pPr>
            <w:r>
              <w:rPr>
                <w:rFonts w:ascii="Calibri" w:hAnsi="Calibri" w:cs="Calibri"/>
              </w:rPr>
              <w:t>The essential role of the dorsolateral prefrontal cortex in motor imagery: A TMS interference study</w:t>
            </w:r>
          </w:p>
        </w:tc>
      </w:tr>
      <w:tr w:rsidR="0042034B" w14:paraId="0B72B898" w14:textId="65FD4D6A" w:rsidTr="007F1060">
        <w:tc>
          <w:tcPr>
            <w:tcW w:w="1271" w:type="dxa"/>
          </w:tcPr>
          <w:p w14:paraId="2D6ACEAD" w14:textId="027A9BA9" w:rsidR="0042034B" w:rsidRPr="00561D78" w:rsidRDefault="00FD25D1" w:rsidP="00B87611">
            <w:pPr>
              <w:spacing w:line="240" w:lineRule="auto"/>
            </w:pPr>
            <w:r>
              <w:t>3.45 – 4.10</w:t>
            </w:r>
          </w:p>
        </w:tc>
        <w:tc>
          <w:tcPr>
            <w:tcW w:w="9214" w:type="dxa"/>
          </w:tcPr>
          <w:p w14:paraId="75879BA2" w14:textId="2AC37E02" w:rsidR="0042034B" w:rsidRDefault="0042034B" w:rsidP="00B87611">
            <w:pPr>
              <w:spacing w:line="240" w:lineRule="auto"/>
              <w:rPr>
                <w:rFonts w:ascii="Calibri" w:hAnsi="Calibri" w:cs="Calibri"/>
              </w:rPr>
            </w:pPr>
            <w:r w:rsidRPr="008A37FE">
              <w:rPr>
                <w:rFonts w:ascii="Calibri" w:hAnsi="Calibri" w:cs="Calibri"/>
                <w:b/>
              </w:rPr>
              <w:t>James Roberts</w:t>
            </w:r>
            <w:r w:rsidR="008A37FE" w:rsidRPr="008A37FE">
              <w:rPr>
                <w:rFonts w:ascii="Calibri" w:hAnsi="Calibri" w:cs="Calibri"/>
                <w:vertAlign w:val="superscript"/>
              </w:rPr>
              <w:t>1</w:t>
            </w:r>
            <w:r w:rsidR="008A37FE">
              <w:rPr>
                <w:rFonts w:ascii="Calibri" w:hAnsi="Calibri" w:cs="Calibri"/>
              </w:rPr>
              <w:t>, Timothy Welsh</w:t>
            </w:r>
            <w:r w:rsidR="008A37FE" w:rsidRPr="008A37FE">
              <w:rPr>
                <w:rFonts w:ascii="Calibri" w:hAnsi="Calibri" w:cs="Calibri"/>
                <w:vertAlign w:val="superscript"/>
              </w:rPr>
              <w:t>2</w:t>
            </w:r>
            <w:r w:rsidR="008A37FE">
              <w:rPr>
                <w:rFonts w:ascii="Calibri" w:hAnsi="Calibri" w:cs="Calibri"/>
              </w:rPr>
              <w:t>, Caroline Wakefield</w:t>
            </w:r>
            <w:r w:rsidR="008A37FE" w:rsidRPr="008A37FE">
              <w:rPr>
                <w:rFonts w:ascii="Calibri" w:hAnsi="Calibri" w:cs="Calibri"/>
                <w:vertAlign w:val="superscript"/>
              </w:rPr>
              <w:t>3</w:t>
            </w:r>
          </w:p>
          <w:p w14:paraId="28C5E081" w14:textId="57A99A8D" w:rsidR="008A37FE" w:rsidRPr="008A37FE" w:rsidRDefault="008A37FE" w:rsidP="00B87611">
            <w:pPr>
              <w:spacing w:line="240" w:lineRule="auto"/>
              <w:rPr>
                <w:rFonts w:ascii="Calibri" w:hAnsi="Calibri" w:cs="Calibri"/>
              </w:rPr>
            </w:pPr>
            <w:r w:rsidRPr="008A37FE">
              <w:rPr>
                <w:rFonts w:ascii="Calibri" w:hAnsi="Calibri" w:cs="Calibri"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 xml:space="preserve">Liverpool John </w:t>
            </w:r>
            <w:proofErr w:type="spellStart"/>
            <w:r>
              <w:rPr>
                <w:rFonts w:ascii="Calibri" w:hAnsi="Calibri" w:cs="Calibri"/>
              </w:rPr>
              <w:t>Moores</w:t>
            </w:r>
            <w:proofErr w:type="spellEnd"/>
            <w:r>
              <w:rPr>
                <w:rFonts w:ascii="Calibri" w:hAnsi="Calibri" w:cs="Calibri"/>
              </w:rPr>
              <w:t xml:space="preserve"> University, </w:t>
            </w:r>
            <w:r w:rsidRPr="008A37FE"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University of Toronto, </w:t>
            </w:r>
            <w:r w:rsidRPr="008A37FE"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>Liverpool Hope University</w:t>
            </w:r>
          </w:p>
          <w:p w14:paraId="6E6A9F6B" w14:textId="77777777" w:rsidR="0042034B" w:rsidRPr="00022DF4" w:rsidRDefault="0042034B" w:rsidP="004203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Examining the equivalence between imagery and execution – Do imagined and executed movements code relative environmental </w:t>
            </w:r>
            <w:proofErr w:type="gramStart"/>
            <w:r>
              <w:rPr>
                <w:rFonts w:ascii="Calibri" w:hAnsi="Calibri" w:cs="Calibri"/>
                <w:color w:val="000000"/>
              </w:rPr>
              <w:t>features?</w:t>
            </w:r>
            <w:proofErr w:type="gramEnd"/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B206846" w14:textId="77777777" w:rsidR="00561D78" w:rsidRDefault="00561D78">
      <w:pPr>
        <w:rPr>
          <w:b/>
        </w:rPr>
      </w:pPr>
    </w:p>
    <w:p w14:paraId="354D2317" w14:textId="300056F4" w:rsidR="00561D78" w:rsidRDefault="00561D78">
      <w:pPr>
        <w:rPr>
          <w:b/>
        </w:rPr>
      </w:pPr>
      <w:r>
        <w:rPr>
          <w:b/>
        </w:rPr>
        <w:t>Friday 19</w:t>
      </w:r>
      <w:r w:rsidRPr="00561D78">
        <w:rPr>
          <w:b/>
          <w:vertAlign w:val="superscript"/>
        </w:rPr>
        <w:t>th</w:t>
      </w:r>
      <w:r>
        <w:rPr>
          <w:b/>
        </w:rPr>
        <w:t xml:space="preserve"> March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4A7428" w14:paraId="010A80DA" w14:textId="7E979EC8" w:rsidTr="007F1060">
        <w:tc>
          <w:tcPr>
            <w:tcW w:w="1271" w:type="dxa"/>
          </w:tcPr>
          <w:p w14:paraId="6B480524" w14:textId="77777777" w:rsidR="004A7428" w:rsidRDefault="004A7428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14:paraId="44FA2379" w14:textId="77777777" w:rsidR="004A7428" w:rsidRDefault="004A7428" w:rsidP="00453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(UK Time)</w:t>
            </w:r>
          </w:p>
        </w:tc>
        <w:tc>
          <w:tcPr>
            <w:tcW w:w="9214" w:type="dxa"/>
          </w:tcPr>
          <w:p w14:paraId="4B2FBA4A" w14:textId="77777777" w:rsidR="004A7428" w:rsidRDefault="004A7428" w:rsidP="0045379C">
            <w:pPr>
              <w:spacing w:after="0"/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4A7428" w14:paraId="298987A6" w14:textId="0FFD7EAC" w:rsidTr="007F1060">
        <w:tc>
          <w:tcPr>
            <w:tcW w:w="1271" w:type="dxa"/>
          </w:tcPr>
          <w:p w14:paraId="0AFDE81E" w14:textId="77777777" w:rsidR="004A7428" w:rsidRPr="00561D78" w:rsidRDefault="004A7428" w:rsidP="0045379C">
            <w:pPr>
              <w:spacing w:line="240" w:lineRule="auto"/>
            </w:pPr>
            <w:r w:rsidRPr="00561D78">
              <w:t>2.00 – 2.15</w:t>
            </w:r>
          </w:p>
        </w:tc>
        <w:tc>
          <w:tcPr>
            <w:tcW w:w="9214" w:type="dxa"/>
          </w:tcPr>
          <w:p w14:paraId="49BE6DDD" w14:textId="77777777" w:rsidR="004A7428" w:rsidRPr="00561D78" w:rsidRDefault="004A7428" w:rsidP="0045379C">
            <w:pPr>
              <w:spacing w:line="240" w:lineRule="auto"/>
            </w:pPr>
            <w:r w:rsidRPr="00561D78">
              <w:t>Welcome and Introduction</w:t>
            </w:r>
          </w:p>
        </w:tc>
      </w:tr>
      <w:tr w:rsidR="00FD25D1" w14:paraId="123365C0" w14:textId="67D00844" w:rsidTr="007F1060">
        <w:tc>
          <w:tcPr>
            <w:tcW w:w="1271" w:type="dxa"/>
          </w:tcPr>
          <w:p w14:paraId="1C25AAB2" w14:textId="1B4EF5B1" w:rsidR="00FD25D1" w:rsidRPr="005A09F2" w:rsidRDefault="00FD25D1" w:rsidP="00FD25D1">
            <w:pPr>
              <w:spacing w:line="240" w:lineRule="auto"/>
            </w:pPr>
            <w:r>
              <w:t>2.15 – 2.40</w:t>
            </w:r>
          </w:p>
        </w:tc>
        <w:tc>
          <w:tcPr>
            <w:tcW w:w="9214" w:type="dxa"/>
          </w:tcPr>
          <w:p w14:paraId="3F6ED72F" w14:textId="72BE5FAA" w:rsidR="00FD25D1" w:rsidRDefault="00FD25D1" w:rsidP="00FD25D1">
            <w:pPr>
              <w:spacing w:line="240" w:lineRule="auto"/>
            </w:pPr>
            <w:proofErr w:type="spellStart"/>
            <w:r w:rsidRPr="00976404">
              <w:rPr>
                <w:b/>
              </w:rPr>
              <w:t>Eoghan</w:t>
            </w:r>
            <w:proofErr w:type="spellEnd"/>
            <w:r w:rsidRPr="00976404">
              <w:rPr>
                <w:b/>
              </w:rPr>
              <w:t xml:space="preserve"> McNeill</w:t>
            </w:r>
            <w:r w:rsidRPr="0042034B">
              <w:rPr>
                <w:vertAlign w:val="superscript"/>
              </w:rPr>
              <w:t>1,2</w:t>
            </w:r>
            <w:r>
              <w:t xml:space="preserve">, Adam </w:t>
            </w:r>
            <w:r w:rsidRPr="004A7428">
              <w:t>Toth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 w:rsidRPr="004A7428">
              <w:t>Niall</w:t>
            </w:r>
            <w:r>
              <w:t xml:space="preserve"> Ramsbottom</w:t>
            </w:r>
            <w:r>
              <w:rPr>
                <w:vertAlign w:val="superscript"/>
              </w:rPr>
              <w:t>2</w:t>
            </w:r>
            <w:r>
              <w:t>, Mark Campbell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1A420F47" w14:textId="77777777" w:rsidR="00FD25D1" w:rsidRPr="0042034B" w:rsidRDefault="00FD25D1" w:rsidP="00FD25D1">
            <w:pPr>
              <w:spacing w:line="240" w:lineRule="auto"/>
            </w:pPr>
            <w:r w:rsidRPr="0042034B">
              <w:rPr>
                <w:vertAlign w:val="superscript"/>
              </w:rPr>
              <w:t>1</w:t>
            </w:r>
            <w:r>
              <w:t xml:space="preserve">Athlone Institute of Technology, </w:t>
            </w:r>
            <w:r w:rsidRPr="0042034B">
              <w:rPr>
                <w:vertAlign w:val="superscript"/>
              </w:rPr>
              <w:t>2</w:t>
            </w:r>
            <w:r>
              <w:t>University of Limerick</w:t>
            </w:r>
          </w:p>
          <w:p w14:paraId="128BA486" w14:textId="30B7D265" w:rsidR="00FD25D1" w:rsidRPr="005A09F2" w:rsidRDefault="00FD25D1" w:rsidP="00FD25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A09F2">
              <w:rPr>
                <w:rFonts w:ascii="Calibri" w:hAnsi="Calibri" w:cs="Calibri"/>
              </w:rPr>
              <w:t>Self-modelled versus skilled-peer modelled AO+MI effects on skilled sensorimotor p</w:t>
            </w:r>
            <w:r>
              <w:rPr>
                <w:rFonts w:ascii="Calibri" w:hAnsi="Calibri" w:cs="Calibri"/>
              </w:rPr>
              <w:t>erformance: A Registered Report</w:t>
            </w:r>
          </w:p>
        </w:tc>
      </w:tr>
      <w:tr w:rsidR="00FD25D1" w14:paraId="4FC25296" w14:textId="6FE6DCE5" w:rsidTr="007F1060">
        <w:tc>
          <w:tcPr>
            <w:tcW w:w="1271" w:type="dxa"/>
          </w:tcPr>
          <w:p w14:paraId="58D32BA6" w14:textId="51161D98" w:rsidR="00FD25D1" w:rsidRPr="005A09F2" w:rsidRDefault="00FD25D1" w:rsidP="00FD25D1">
            <w:pPr>
              <w:spacing w:line="240" w:lineRule="auto"/>
            </w:pPr>
            <w:r w:rsidRPr="00561D78">
              <w:t>2.45 – 3.1</w:t>
            </w:r>
            <w:r>
              <w:t>0</w:t>
            </w:r>
          </w:p>
        </w:tc>
        <w:tc>
          <w:tcPr>
            <w:tcW w:w="9214" w:type="dxa"/>
          </w:tcPr>
          <w:p w14:paraId="369A6DDB" w14:textId="03A5B52A" w:rsidR="00FD25D1" w:rsidRDefault="00FD25D1" w:rsidP="00FD25D1">
            <w:pPr>
              <w:spacing w:line="240" w:lineRule="auto"/>
            </w:pPr>
            <w:r w:rsidRPr="004A7428">
              <w:rPr>
                <w:b/>
              </w:rPr>
              <w:t>Adam Bruton</w:t>
            </w:r>
            <w:r w:rsidRPr="008A3C6B">
              <w:rPr>
                <w:vertAlign w:val="superscript"/>
              </w:rPr>
              <w:t>1</w:t>
            </w:r>
            <w:r>
              <w:t>, Adam Khan</w:t>
            </w:r>
            <w:r w:rsidRPr="008A3C6B">
              <w:rPr>
                <w:vertAlign w:val="superscript"/>
              </w:rPr>
              <w:t>1</w:t>
            </w:r>
            <w:r>
              <w:t>, Oliver Spink</w:t>
            </w:r>
            <w:r w:rsidRPr="008A3C6B">
              <w:rPr>
                <w:vertAlign w:val="superscript"/>
              </w:rPr>
              <w:t>1</w:t>
            </w:r>
            <w:r>
              <w:t>, Adam McGarry</w:t>
            </w:r>
            <w:r w:rsidRPr="008A3C6B">
              <w:rPr>
                <w:vertAlign w:val="superscript"/>
              </w:rPr>
              <w:t>1</w:t>
            </w:r>
            <w:r>
              <w:t>, Cornelia Frank</w:t>
            </w:r>
            <w:r w:rsidRPr="008A3C6B">
              <w:rPr>
                <w:vertAlign w:val="superscript"/>
              </w:rPr>
              <w:t>2</w:t>
            </w:r>
            <w:r>
              <w:t>, Daniel Eaves</w:t>
            </w:r>
            <w:r w:rsidRPr="008A3C6B">
              <w:rPr>
                <w:vertAlign w:val="superscript"/>
              </w:rPr>
              <w:t>3</w:t>
            </w:r>
            <w:r>
              <w:t>, David Wright</w:t>
            </w:r>
            <w:r w:rsidRPr="008A3C6B">
              <w:rPr>
                <w:vertAlign w:val="superscript"/>
              </w:rPr>
              <w:t>4</w:t>
            </w:r>
            <w:r>
              <w:t>, Samantha Chye</w:t>
            </w:r>
            <w:r w:rsidRPr="008A3C6B">
              <w:rPr>
                <w:vertAlign w:val="superscript"/>
              </w:rPr>
              <w:t>1</w:t>
            </w:r>
            <w:r>
              <w:t>, Ashika Chembila Valappil</w:t>
            </w:r>
            <w:r w:rsidRPr="008A3C6B">
              <w:rPr>
                <w:vertAlign w:val="superscript"/>
              </w:rPr>
              <w:t>1</w:t>
            </w:r>
          </w:p>
          <w:p w14:paraId="0723C103" w14:textId="1B33C06A" w:rsidR="00FD25D1" w:rsidRPr="008A3C6B" w:rsidRDefault="00FD25D1" w:rsidP="00FD25D1">
            <w:pPr>
              <w:spacing w:line="240" w:lineRule="auto"/>
            </w:pPr>
            <w:r w:rsidRPr="008A3C6B">
              <w:rPr>
                <w:vertAlign w:val="superscript"/>
              </w:rPr>
              <w:t>1</w:t>
            </w:r>
            <w:r>
              <w:t xml:space="preserve">University of Roehampton, </w:t>
            </w:r>
            <w:r w:rsidRPr="008A3C6B">
              <w:rPr>
                <w:vertAlign w:val="superscript"/>
              </w:rPr>
              <w:t>2</w:t>
            </w:r>
            <w:r>
              <w:t>Osnabr</w:t>
            </w:r>
            <w:r>
              <w:rPr>
                <w:rFonts w:cstheme="minorHAnsi"/>
              </w:rPr>
              <w:t>ü</w:t>
            </w:r>
            <w:r>
              <w:t xml:space="preserve">ck University, </w:t>
            </w:r>
            <w:r w:rsidRPr="008A3C6B">
              <w:rPr>
                <w:vertAlign w:val="superscript"/>
              </w:rPr>
              <w:t>3</w:t>
            </w:r>
            <w:r>
              <w:t xml:space="preserve">Teesside University, </w:t>
            </w:r>
            <w:r w:rsidRPr="008A3C6B">
              <w:rPr>
                <w:vertAlign w:val="superscript"/>
              </w:rPr>
              <w:t>4</w:t>
            </w:r>
            <w:r>
              <w:t>Manchester Metropolitan University</w:t>
            </w:r>
          </w:p>
          <w:p w14:paraId="4C4D6256" w14:textId="5D75285F" w:rsidR="00FD25D1" w:rsidRPr="005A09F2" w:rsidRDefault="00FD25D1" w:rsidP="00FD25D1">
            <w:pPr>
              <w:spacing w:after="0" w:line="240" w:lineRule="auto"/>
            </w:pPr>
            <w:r w:rsidRPr="005A09F2">
              <w:t>Combined action observation and motor imagery interventions improve self-efficacy and performance in sport</w:t>
            </w:r>
          </w:p>
        </w:tc>
      </w:tr>
      <w:tr w:rsidR="00FD25D1" w14:paraId="46773FA6" w14:textId="71E73EAD" w:rsidTr="007F1060">
        <w:tc>
          <w:tcPr>
            <w:tcW w:w="1271" w:type="dxa"/>
          </w:tcPr>
          <w:p w14:paraId="6CE71A0F" w14:textId="638C5D86" w:rsidR="00FD25D1" w:rsidRPr="005A09F2" w:rsidRDefault="00FD25D1" w:rsidP="00FD25D1">
            <w:pPr>
              <w:spacing w:line="240" w:lineRule="auto"/>
            </w:pPr>
            <w:r w:rsidRPr="00561D78">
              <w:t>3.15 –</w:t>
            </w:r>
            <w:r>
              <w:t xml:space="preserve"> 3.40</w:t>
            </w:r>
          </w:p>
        </w:tc>
        <w:tc>
          <w:tcPr>
            <w:tcW w:w="9214" w:type="dxa"/>
          </w:tcPr>
          <w:p w14:paraId="1854E718" w14:textId="102D0D2E" w:rsidR="00FD25D1" w:rsidRDefault="00FD25D1" w:rsidP="00FD25D1">
            <w:pPr>
              <w:spacing w:line="240" w:lineRule="auto"/>
              <w:rPr>
                <w:rFonts w:ascii="Calibri" w:hAnsi="Calibri" w:cs="Calibri"/>
              </w:rPr>
            </w:pPr>
            <w:r w:rsidRPr="008A3C6B">
              <w:rPr>
                <w:rFonts w:ascii="Calibri" w:hAnsi="Calibri" w:cs="Calibri"/>
                <w:b/>
              </w:rPr>
              <w:t>Deirdre Ryan</w:t>
            </w:r>
            <w:r w:rsidRPr="008A3C6B">
              <w:rPr>
                <w:rFonts w:ascii="Calibri" w:hAnsi="Calibri" w:cs="Calibri"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Brona</w:t>
            </w:r>
            <w:proofErr w:type="spellEnd"/>
            <w:r>
              <w:rPr>
                <w:rFonts w:ascii="Calibri" w:hAnsi="Calibri" w:cs="Calibri"/>
              </w:rPr>
              <w:t xml:space="preserve"> Fullen</w:t>
            </w:r>
            <w:r w:rsidRPr="008A3C6B">
              <w:rPr>
                <w:rFonts w:ascii="Calibri" w:hAnsi="Calibri" w:cs="Calibri"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Ebonie</w:t>
            </w:r>
            <w:proofErr w:type="spellEnd"/>
            <w:r>
              <w:rPr>
                <w:rFonts w:ascii="Calibri" w:hAnsi="Calibri" w:cs="Calibri"/>
              </w:rPr>
              <w:t xml:space="preserve"> Rio</w:t>
            </w:r>
            <w:r w:rsidRPr="008A3C6B"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, Ricardo Segurado</w:t>
            </w:r>
            <w:r w:rsidRPr="008A3C6B">
              <w:rPr>
                <w:rFonts w:ascii="Calibri" w:hAnsi="Calibri" w:cs="Calibri"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Diarmiad</w:t>
            </w:r>
            <w:proofErr w:type="spellEnd"/>
            <w:r>
              <w:rPr>
                <w:rFonts w:ascii="Calibri" w:hAnsi="Calibri" w:cs="Calibri"/>
              </w:rPr>
              <w:t xml:space="preserve"> Stokes</w:t>
            </w:r>
            <w:r w:rsidRPr="008A3C6B">
              <w:rPr>
                <w:rFonts w:ascii="Calibri" w:hAnsi="Calibri" w:cs="Calibri"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>, Cliona O’Sullivan</w:t>
            </w:r>
            <w:r w:rsidRPr="008A3C6B">
              <w:rPr>
                <w:rFonts w:ascii="Calibri" w:hAnsi="Calibri" w:cs="Calibri"/>
                <w:vertAlign w:val="superscript"/>
              </w:rPr>
              <w:t>1</w:t>
            </w:r>
          </w:p>
          <w:p w14:paraId="2B5F63EC" w14:textId="4F1FC3F3" w:rsidR="00FD25D1" w:rsidRPr="008A3C6B" w:rsidRDefault="00FD25D1" w:rsidP="00FD25D1">
            <w:pPr>
              <w:spacing w:line="240" w:lineRule="auto"/>
              <w:rPr>
                <w:rFonts w:ascii="Calibri" w:hAnsi="Calibri" w:cs="Calibri"/>
              </w:rPr>
            </w:pPr>
            <w:r w:rsidRPr="008A3C6B">
              <w:rPr>
                <w:rFonts w:ascii="Calibri" w:hAnsi="Calibri" w:cs="Calibri"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 xml:space="preserve">University College Dublin, </w:t>
            </w:r>
            <w:r w:rsidRPr="008A3C6B"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La Trobe University</w:t>
            </w:r>
          </w:p>
          <w:p w14:paraId="356D8AEC" w14:textId="0464C717" w:rsidR="00FD25D1" w:rsidRPr="005A09F2" w:rsidRDefault="00FD25D1" w:rsidP="00FD25D1">
            <w:pPr>
              <w:spacing w:after="0" w:line="240" w:lineRule="auto"/>
            </w:pPr>
            <w:r w:rsidRPr="005A09F2">
              <w:rPr>
                <w:rFonts w:ascii="Calibri" w:hAnsi="Calibri" w:cs="Calibri"/>
              </w:rPr>
              <w:t xml:space="preserve">The effect of action observation therapy in the rehabilitation of </w:t>
            </w:r>
            <w:proofErr w:type="spellStart"/>
            <w:r w:rsidRPr="005A09F2">
              <w:rPr>
                <w:rFonts w:ascii="Calibri" w:hAnsi="Calibri" w:cs="Calibri"/>
              </w:rPr>
              <w:t>neuromusculoskeletal</w:t>
            </w:r>
            <w:proofErr w:type="spellEnd"/>
            <w:r w:rsidRPr="005A09F2">
              <w:rPr>
                <w:rFonts w:ascii="Calibri" w:hAnsi="Calibri" w:cs="Calibri"/>
              </w:rPr>
              <w:t xml:space="preserve"> conditions: a s</w:t>
            </w:r>
            <w:r>
              <w:rPr>
                <w:rFonts w:ascii="Calibri" w:hAnsi="Calibri" w:cs="Calibri"/>
              </w:rPr>
              <w:t>ystematic review</w:t>
            </w:r>
          </w:p>
        </w:tc>
      </w:tr>
    </w:tbl>
    <w:p w14:paraId="1A5B2836" w14:textId="751F6C37" w:rsidR="00561D78" w:rsidRDefault="00561D78">
      <w:pPr>
        <w:rPr>
          <w:b/>
        </w:rPr>
      </w:pPr>
    </w:p>
    <w:p w14:paraId="51876B92" w14:textId="5336A7F7" w:rsidR="007F1060" w:rsidRDefault="007F1060">
      <w:pPr>
        <w:rPr>
          <w:b/>
        </w:rPr>
      </w:pPr>
    </w:p>
    <w:p w14:paraId="36225617" w14:textId="7B309DBF" w:rsidR="00561D78" w:rsidRDefault="00561D78">
      <w:pPr>
        <w:rPr>
          <w:b/>
        </w:rPr>
      </w:pPr>
      <w:r>
        <w:rPr>
          <w:b/>
        </w:rPr>
        <w:lastRenderedPageBreak/>
        <w:t>Friday 26</w:t>
      </w:r>
      <w:r w:rsidRPr="00561D78">
        <w:rPr>
          <w:b/>
          <w:vertAlign w:val="superscript"/>
        </w:rPr>
        <w:t>th</w:t>
      </w:r>
      <w:r>
        <w:rPr>
          <w:b/>
        </w:rPr>
        <w:t xml:space="preserve"> March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7B3E50" w14:paraId="59EA740D" w14:textId="654D0742" w:rsidTr="007F1060">
        <w:tc>
          <w:tcPr>
            <w:tcW w:w="1271" w:type="dxa"/>
          </w:tcPr>
          <w:p w14:paraId="5E4D8C37" w14:textId="77777777" w:rsidR="007B3E50" w:rsidRDefault="007B3E50" w:rsidP="005332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14:paraId="60090E58" w14:textId="77777777" w:rsidR="007B3E50" w:rsidRDefault="007B3E50" w:rsidP="005332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(UK Time)</w:t>
            </w:r>
          </w:p>
        </w:tc>
        <w:tc>
          <w:tcPr>
            <w:tcW w:w="9214" w:type="dxa"/>
          </w:tcPr>
          <w:p w14:paraId="5678232E" w14:textId="77777777" w:rsidR="007B3E50" w:rsidRDefault="007B3E50" w:rsidP="005332D8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7B3E50" w14:paraId="00D86B4E" w14:textId="764CE720" w:rsidTr="007F1060">
        <w:tc>
          <w:tcPr>
            <w:tcW w:w="1271" w:type="dxa"/>
          </w:tcPr>
          <w:p w14:paraId="1272F67C" w14:textId="77777777" w:rsidR="007B3E50" w:rsidRPr="00561D78" w:rsidRDefault="007B3E50" w:rsidP="00D56BDC">
            <w:pPr>
              <w:spacing w:line="240" w:lineRule="auto"/>
            </w:pPr>
            <w:r w:rsidRPr="00561D78">
              <w:t>2.00 – 2.15</w:t>
            </w:r>
          </w:p>
        </w:tc>
        <w:tc>
          <w:tcPr>
            <w:tcW w:w="9214" w:type="dxa"/>
          </w:tcPr>
          <w:p w14:paraId="5F66ABC4" w14:textId="77777777" w:rsidR="007B3E50" w:rsidRPr="00561D78" w:rsidRDefault="007B3E50" w:rsidP="007B3E50">
            <w:pPr>
              <w:spacing w:after="0" w:line="240" w:lineRule="auto"/>
            </w:pPr>
            <w:r w:rsidRPr="00561D78">
              <w:t>Welcome and Introduction</w:t>
            </w:r>
          </w:p>
        </w:tc>
      </w:tr>
      <w:tr w:rsidR="00FD25D1" w14:paraId="14720EB3" w14:textId="14F148F1" w:rsidTr="007F1060">
        <w:tc>
          <w:tcPr>
            <w:tcW w:w="1271" w:type="dxa"/>
          </w:tcPr>
          <w:p w14:paraId="09992E6F" w14:textId="34AA0FCC" w:rsidR="00FD25D1" w:rsidRPr="00561D78" w:rsidRDefault="00FD25D1" w:rsidP="00FD25D1">
            <w:pPr>
              <w:spacing w:line="240" w:lineRule="auto"/>
            </w:pPr>
            <w:r>
              <w:t>2.15 – 2.40</w:t>
            </w:r>
          </w:p>
        </w:tc>
        <w:tc>
          <w:tcPr>
            <w:tcW w:w="9214" w:type="dxa"/>
          </w:tcPr>
          <w:p w14:paraId="54971A69" w14:textId="2C622B93" w:rsidR="00FD25D1" w:rsidRDefault="00FD25D1" w:rsidP="00FD25D1">
            <w:pPr>
              <w:spacing w:line="240" w:lineRule="auto"/>
            </w:pPr>
            <w:r w:rsidRPr="007B3E50">
              <w:rPr>
                <w:b/>
              </w:rPr>
              <w:t>Camilla Woodrow-Hill</w:t>
            </w:r>
            <w:r w:rsidRPr="007B3E50">
              <w:rPr>
                <w:vertAlign w:val="superscript"/>
              </w:rPr>
              <w:t>1</w:t>
            </w:r>
            <w:r>
              <w:t>, Ellen Poliakoff</w:t>
            </w:r>
            <w:r w:rsidRPr="007B3E50">
              <w:rPr>
                <w:vertAlign w:val="superscript"/>
              </w:rPr>
              <w:t>1</w:t>
            </w:r>
            <w:r>
              <w:t>, Emma Gowen</w:t>
            </w:r>
            <w:r w:rsidRPr="007B3E50">
              <w:rPr>
                <w:vertAlign w:val="superscript"/>
              </w:rPr>
              <w:t>1</w:t>
            </w:r>
            <w:r>
              <w:t>, Stefan Vogt</w:t>
            </w:r>
            <w:r w:rsidRPr="007B3E50">
              <w:rPr>
                <w:vertAlign w:val="superscript"/>
              </w:rPr>
              <w:t>2</w:t>
            </w:r>
            <w:r>
              <w:t>, Matthew Sullivan</w:t>
            </w:r>
            <w:r w:rsidRPr="007B3E50">
              <w:rPr>
                <w:vertAlign w:val="superscript"/>
              </w:rPr>
              <w:t>3</w:t>
            </w:r>
          </w:p>
          <w:p w14:paraId="4D2E6DCF" w14:textId="6F576203" w:rsidR="00FD25D1" w:rsidRPr="007B3E50" w:rsidRDefault="00FD25D1" w:rsidP="00FD25D1">
            <w:pPr>
              <w:spacing w:line="240" w:lineRule="auto"/>
            </w:pPr>
            <w:r w:rsidRPr="007B3E50">
              <w:rPr>
                <w:vertAlign w:val="superscript"/>
              </w:rPr>
              <w:t>1</w:t>
            </w:r>
            <w:r>
              <w:t xml:space="preserve">University of Manchester, </w:t>
            </w:r>
            <w:r w:rsidRPr="007B3E50">
              <w:rPr>
                <w:vertAlign w:val="superscript"/>
              </w:rPr>
              <w:t>2</w:t>
            </w:r>
            <w:r>
              <w:t xml:space="preserve">Lancaster University, </w:t>
            </w:r>
            <w:r w:rsidRPr="007B3E50">
              <w:rPr>
                <w:vertAlign w:val="superscript"/>
              </w:rPr>
              <w:t>3</w:t>
            </w:r>
            <w:r>
              <w:t>Person with Parkinson’s</w:t>
            </w:r>
          </w:p>
          <w:p w14:paraId="43DD1B6D" w14:textId="77777777" w:rsidR="00FD25D1" w:rsidRPr="00561D78" w:rsidRDefault="00FD25D1" w:rsidP="00FD25D1">
            <w:pPr>
              <w:spacing w:after="0" w:line="240" w:lineRule="auto"/>
            </w:pPr>
            <w:proofErr w:type="gramStart"/>
            <w:r>
              <w:rPr>
                <w:rFonts w:ascii="Calibri" w:hAnsi="Calibri" w:cs="Calibri"/>
                <w:color w:val="000000"/>
              </w:rPr>
              <w:t>Can action observation and/or motor imagery be used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 improve computer-based actions in people with Parkinson’s?</w:t>
            </w:r>
          </w:p>
        </w:tc>
      </w:tr>
      <w:tr w:rsidR="00FD25D1" w14:paraId="532066F3" w14:textId="0601D7E0" w:rsidTr="007F1060">
        <w:tc>
          <w:tcPr>
            <w:tcW w:w="1271" w:type="dxa"/>
          </w:tcPr>
          <w:p w14:paraId="76AAA44B" w14:textId="00052966" w:rsidR="00FD25D1" w:rsidRPr="00561D78" w:rsidRDefault="00FD25D1" w:rsidP="00FD25D1">
            <w:pPr>
              <w:spacing w:line="240" w:lineRule="auto"/>
            </w:pPr>
            <w:r w:rsidRPr="00561D78">
              <w:t>2.45 – 3.1</w:t>
            </w:r>
            <w:r>
              <w:t>0</w:t>
            </w:r>
          </w:p>
        </w:tc>
        <w:tc>
          <w:tcPr>
            <w:tcW w:w="9214" w:type="dxa"/>
          </w:tcPr>
          <w:p w14:paraId="0B6DC517" w14:textId="3FF371B2" w:rsidR="00FD25D1" w:rsidRDefault="00FD25D1" w:rsidP="00FD25D1">
            <w:pPr>
              <w:spacing w:line="240" w:lineRule="auto"/>
            </w:pPr>
            <w:r w:rsidRPr="007B3E50">
              <w:rPr>
                <w:b/>
              </w:rPr>
              <w:t>Ying Bai</w:t>
            </w:r>
            <w:r>
              <w:t xml:space="preserve">, Emma </w:t>
            </w:r>
            <w:proofErr w:type="spellStart"/>
            <w:r>
              <w:t>Gowen</w:t>
            </w:r>
            <w:proofErr w:type="spellEnd"/>
            <w:r>
              <w:t>, Ellen Poliakoff</w:t>
            </w:r>
          </w:p>
          <w:p w14:paraId="795D8EB4" w14:textId="2452D837" w:rsidR="00FD25D1" w:rsidRDefault="00FD25D1" w:rsidP="00FD25D1">
            <w:pPr>
              <w:spacing w:line="240" w:lineRule="auto"/>
            </w:pPr>
            <w:r>
              <w:t>University of Manchester</w:t>
            </w:r>
          </w:p>
          <w:p w14:paraId="0D2EAFF1" w14:textId="77777777" w:rsidR="00FD25D1" w:rsidRPr="00DE7BB5" w:rsidRDefault="00FD25D1" w:rsidP="00FD25D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Action understanding and autism spectrum condition: A systematic review</w:t>
            </w:r>
          </w:p>
        </w:tc>
      </w:tr>
      <w:tr w:rsidR="00FD25D1" w14:paraId="34E598CE" w14:textId="546C4970" w:rsidTr="007F1060">
        <w:tc>
          <w:tcPr>
            <w:tcW w:w="1271" w:type="dxa"/>
          </w:tcPr>
          <w:p w14:paraId="1D1A4D2C" w14:textId="049BC061" w:rsidR="00FD25D1" w:rsidRPr="00561D78" w:rsidRDefault="00FD25D1" w:rsidP="00FD25D1">
            <w:pPr>
              <w:spacing w:line="240" w:lineRule="auto"/>
            </w:pPr>
            <w:r w:rsidRPr="00561D78">
              <w:t>3.15 –</w:t>
            </w:r>
            <w:r>
              <w:t xml:space="preserve"> 3.40</w:t>
            </w:r>
          </w:p>
        </w:tc>
        <w:tc>
          <w:tcPr>
            <w:tcW w:w="9214" w:type="dxa"/>
          </w:tcPr>
          <w:p w14:paraId="150F631C" w14:textId="5B9F2CA0" w:rsidR="00FD25D1" w:rsidRDefault="00FD25D1" w:rsidP="00FD25D1">
            <w:pPr>
              <w:spacing w:line="240" w:lineRule="auto"/>
              <w:rPr>
                <w:rFonts w:ascii="Calibri" w:hAnsi="Calibri" w:cs="Calibri"/>
              </w:rPr>
            </w:pPr>
            <w:r w:rsidRPr="007B3E50">
              <w:rPr>
                <w:rFonts w:ascii="Calibri" w:hAnsi="Calibri" w:cs="Calibri"/>
                <w:b/>
              </w:rPr>
              <w:t>Moudhi Al Twaijri</w:t>
            </w:r>
            <w:r>
              <w:rPr>
                <w:rFonts w:ascii="Calibri" w:hAnsi="Calibri" w:cs="Calibri"/>
              </w:rPr>
              <w:t>, Judith Bek, Ellen Poliakoff, Karen Lander</w:t>
            </w:r>
          </w:p>
          <w:p w14:paraId="047FDC2E" w14:textId="48CAF714" w:rsidR="00FD25D1" w:rsidRDefault="00FD25D1" w:rsidP="00FD25D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University of Manchester</w:t>
            </w:r>
          </w:p>
          <w:p w14:paraId="0A59DFA6" w14:textId="77777777" w:rsidR="00FD25D1" w:rsidRPr="00DE7BB5" w:rsidRDefault="00FD25D1" w:rsidP="00FD25D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Exploring how people with Parkinson's Disease observe dance with and without facial expressions</w:t>
            </w:r>
          </w:p>
        </w:tc>
      </w:tr>
      <w:tr w:rsidR="007B3E50" w14:paraId="5F6596F1" w14:textId="0C7F3BDB" w:rsidTr="007F1060">
        <w:tc>
          <w:tcPr>
            <w:tcW w:w="1271" w:type="dxa"/>
          </w:tcPr>
          <w:p w14:paraId="6723E4D6" w14:textId="0FB69989" w:rsidR="007B3E50" w:rsidRPr="00561D78" w:rsidRDefault="00FD25D1" w:rsidP="00D56BDC">
            <w:pPr>
              <w:spacing w:line="240" w:lineRule="auto"/>
            </w:pPr>
            <w:r>
              <w:t>3.45 – 4.10</w:t>
            </w:r>
          </w:p>
        </w:tc>
        <w:tc>
          <w:tcPr>
            <w:tcW w:w="9214" w:type="dxa"/>
          </w:tcPr>
          <w:p w14:paraId="670EC2F3" w14:textId="5901B647" w:rsidR="007B3E50" w:rsidRDefault="007B3E50" w:rsidP="00D56BDC">
            <w:pPr>
              <w:spacing w:line="240" w:lineRule="auto"/>
              <w:rPr>
                <w:rFonts w:ascii="Calibri" w:hAnsi="Calibri" w:cs="Calibri"/>
              </w:rPr>
            </w:pPr>
            <w:r w:rsidRPr="007B3E50">
              <w:rPr>
                <w:rFonts w:ascii="Calibri" w:hAnsi="Calibri" w:cs="Calibri"/>
                <w:b/>
              </w:rPr>
              <w:t>Megan Readman</w:t>
            </w:r>
            <w:r w:rsidRPr="007B3E50">
              <w:rPr>
                <w:rFonts w:ascii="Calibri" w:hAnsi="Calibri" w:cs="Calibri"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>, Ellen Polaikoff</w:t>
            </w:r>
            <w:r w:rsidRPr="007B3E50"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, Judith Bek</w:t>
            </w:r>
            <w:r w:rsidRPr="007B3E50"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, Sally Linkenauger</w:t>
            </w:r>
            <w:r w:rsidRPr="007B3E50">
              <w:rPr>
                <w:rFonts w:ascii="Calibri" w:hAnsi="Calibri" w:cs="Calibri"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>, Trevor Crawford</w:t>
            </w:r>
            <w:r w:rsidRPr="007B3E50">
              <w:rPr>
                <w:rFonts w:ascii="Calibri" w:hAnsi="Calibri" w:cs="Calibri"/>
                <w:vertAlign w:val="superscript"/>
              </w:rPr>
              <w:t>1</w:t>
            </w:r>
          </w:p>
          <w:p w14:paraId="31BA9FE7" w14:textId="17C97EF3" w:rsidR="007B3E50" w:rsidRPr="007B3E50" w:rsidRDefault="007B3E50" w:rsidP="00D56BDC">
            <w:pPr>
              <w:spacing w:line="240" w:lineRule="auto"/>
              <w:rPr>
                <w:rFonts w:ascii="Calibri" w:hAnsi="Calibri" w:cs="Calibri"/>
              </w:rPr>
            </w:pPr>
            <w:r w:rsidRPr="007B3E50">
              <w:rPr>
                <w:rFonts w:ascii="Calibri" w:hAnsi="Calibri" w:cs="Calibri"/>
                <w:vertAlign w:val="superscript"/>
              </w:rPr>
              <w:t>1</w:t>
            </w:r>
            <w:r>
              <w:rPr>
                <w:rFonts w:ascii="Calibri" w:hAnsi="Calibri" w:cs="Calibri"/>
              </w:rPr>
              <w:t xml:space="preserve">Lancaster University, </w:t>
            </w:r>
            <w:r w:rsidRPr="007B3E50"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>University of Manchester</w:t>
            </w:r>
          </w:p>
          <w:p w14:paraId="3C59E2FB" w14:textId="77777777" w:rsidR="007B3E50" w:rsidRPr="00561D78" w:rsidRDefault="007B3E50" w:rsidP="007B3E50">
            <w:pPr>
              <w:spacing w:after="0" w:line="240" w:lineRule="auto"/>
            </w:pPr>
            <w:r>
              <w:rPr>
                <w:rFonts w:ascii="Calibri" w:hAnsi="Calibri" w:cs="Calibri"/>
              </w:rPr>
              <w:t>The influence of motor symptoms on motor imagery in Parkinson's Disease</w:t>
            </w:r>
          </w:p>
        </w:tc>
      </w:tr>
    </w:tbl>
    <w:p w14:paraId="3486452B" w14:textId="66F3B5BB" w:rsidR="00561D78" w:rsidRDefault="00561D78">
      <w:pPr>
        <w:rPr>
          <w:b/>
        </w:rPr>
      </w:pPr>
    </w:p>
    <w:p w14:paraId="1E185E09" w14:textId="6DF1F38A" w:rsidR="00561D78" w:rsidRDefault="00561D78">
      <w:pPr>
        <w:rPr>
          <w:b/>
        </w:rPr>
      </w:pPr>
      <w:r>
        <w:rPr>
          <w:b/>
        </w:rPr>
        <w:t>Friday 9</w:t>
      </w:r>
      <w:r w:rsidRPr="00561D78">
        <w:rPr>
          <w:b/>
          <w:vertAlign w:val="superscript"/>
        </w:rPr>
        <w:t>th</w:t>
      </w:r>
      <w:r>
        <w:rPr>
          <w:b/>
        </w:rPr>
        <w:t xml:space="preserve"> April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7B3E50" w14:paraId="645CEFC8" w14:textId="670AF124" w:rsidTr="007F1060">
        <w:tc>
          <w:tcPr>
            <w:tcW w:w="1271" w:type="dxa"/>
          </w:tcPr>
          <w:p w14:paraId="27DC49D3" w14:textId="77777777" w:rsidR="007B3E50" w:rsidRDefault="007B3E50" w:rsidP="005332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14:paraId="4908F33A" w14:textId="77777777" w:rsidR="007B3E50" w:rsidRDefault="007B3E50" w:rsidP="005332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(UK Time)</w:t>
            </w:r>
          </w:p>
        </w:tc>
        <w:tc>
          <w:tcPr>
            <w:tcW w:w="9214" w:type="dxa"/>
          </w:tcPr>
          <w:p w14:paraId="7767CE29" w14:textId="77777777" w:rsidR="007B3E50" w:rsidRDefault="007B3E50" w:rsidP="005332D8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7B3E50" w14:paraId="1FC15C79" w14:textId="73BEE30E" w:rsidTr="007F1060">
        <w:tc>
          <w:tcPr>
            <w:tcW w:w="1271" w:type="dxa"/>
          </w:tcPr>
          <w:p w14:paraId="5C67B348" w14:textId="77777777" w:rsidR="007B3E50" w:rsidRPr="00561D78" w:rsidRDefault="007B3E50" w:rsidP="007B3E50">
            <w:r w:rsidRPr="00561D78">
              <w:t>2.00 – 2.15</w:t>
            </w:r>
          </w:p>
        </w:tc>
        <w:tc>
          <w:tcPr>
            <w:tcW w:w="9214" w:type="dxa"/>
          </w:tcPr>
          <w:p w14:paraId="1155B304" w14:textId="77777777" w:rsidR="007B3E50" w:rsidRPr="005A09F2" w:rsidRDefault="007B3E50" w:rsidP="00DE7BB5">
            <w:pPr>
              <w:spacing w:after="0"/>
            </w:pPr>
            <w:r w:rsidRPr="005A09F2">
              <w:t>Welcome and Introduction</w:t>
            </w:r>
          </w:p>
        </w:tc>
      </w:tr>
      <w:tr w:rsidR="00FD25D1" w14:paraId="0E4E7E12" w14:textId="54886941" w:rsidTr="007F1060">
        <w:tc>
          <w:tcPr>
            <w:tcW w:w="1271" w:type="dxa"/>
          </w:tcPr>
          <w:p w14:paraId="58055463" w14:textId="11237CB9" w:rsidR="00FD25D1" w:rsidRPr="00561D78" w:rsidRDefault="00FD25D1" w:rsidP="00FD25D1">
            <w:pPr>
              <w:spacing w:after="0"/>
            </w:pPr>
            <w:r>
              <w:t>2.15 – 2.40</w:t>
            </w:r>
          </w:p>
        </w:tc>
        <w:tc>
          <w:tcPr>
            <w:tcW w:w="9214" w:type="dxa"/>
          </w:tcPr>
          <w:p w14:paraId="41207FEC" w14:textId="4663FAB5" w:rsidR="00FD25D1" w:rsidRDefault="00FD25D1" w:rsidP="00FD25D1">
            <w:pPr>
              <w:spacing w:after="0" w:line="240" w:lineRule="auto"/>
            </w:pPr>
            <w:r w:rsidRPr="007B3E50">
              <w:rPr>
                <w:b/>
              </w:rPr>
              <w:t>Ashika Chembila-Valappil</w:t>
            </w:r>
            <w:r w:rsidR="00E040CC" w:rsidRPr="00E040CC">
              <w:rPr>
                <w:b/>
                <w:vertAlign w:val="superscript"/>
              </w:rPr>
              <w:t>1</w:t>
            </w:r>
            <w:r w:rsidR="00E040CC">
              <w:t>, Samantha Chye</w:t>
            </w:r>
            <w:r w:rsidR="00E040CC" w:rsidRPr="00E040CC">
              <w:rPr>
                <w:vertAlign w:val="superscript"/>
              </w:rPr>
              <w:t>1</w:t>
            </w:r>
            <w:r w:rsidR="00E040CC">
              <w:t>, David Wright</w:t>
            </w:r>
            <w:r w:rsidR="00E040CC" w:rsidRPr="00E040CC">
              <w:rPr>
                <w:vertAlign w:val="superscript"/>
              </w:rPr>
              <w:t>2</w:t>
            </w:r>
            <w:r w:rsidR="00E040CC">
              <w:t>, Cornelia Frank</w:t>
            </w:r>
            <w:r w:rsidR="00E040CC" w:rsidRPr="00E040CC">
              <w:rPr>
                <w:vertAlign w:val="superscript"/>
              </w:rPr>
              <w:t>3</w:t>
            </w:r>
            <w:r w:rsidR="00E040CC">
              <w:t>, Daniel Eaves</w:t>
            </w:r>
            <w:r w:rsidR="00E040CC" w:rsidRPr="00E040CC">
              <w:rPr>
                <w:vertAlign w:val="superscript"/>
              </w:rPr>
              <w:t>4</w:t>
            </w:r>
            <w:r w:rsidR="00E040CC">
              <w:t>, David Shearer</w:t>
            </w:r>
            <w:r w:rsidR="00E040CC" w:rsidRPr="00E040CC">
              <w:rPr>
                <w:vertAlign w:val="superscript"/>
              </w:rPr>
              <w:t>5</w:t>
            </w:r>
            <w:r w:rsidR="00E040CC">
              <w:t>, Chris Tyler</w:t>
            </w:r>
            <w:r w:rsidR="00E040CC" w:rsidRPr="00E040CC">
              <w:rPr>
                <w:vertAlign w:val="superscript"/>
              </w:rPr>
              <w:t>1</w:t>
            </w:r>
            <w:r w:rsidR="00E040CC">
              <w:t>, Ceri Diss</w:t>
            </w:r>
            <w:r w:rsidR="00E040CC" w:rsidRPr="00E040CC">
              <w:rPr>
                <w:vertAlign w:val="superscript"/>
              </w:rPr>
              <w:t>1</w:t>
            </w:r>
            <w:r w:rsidR="00E040CC">
              <w:t>, Omar Mian</w:t>
            </w:r>
            <w:r w:rsidR="00E040CC" w:rsidRPr="00E040CC">
              <w:rPr>
                <w:vertAlign w:val="superscript"/>
              </w:rPr>
              <w:t>1</w:t>
            </w:r>
            <w:r w:rsidR="00E040CC">
              <w:t>, Neale Tillin</w:t>
            </w:r>
            <w:r w:rsidR="00E040CC" w:rsidRPr="00E040CC">
              <w:rPr>
                <w:vertAlign w:val="superscript"/>
              </w:rPr>
              <w:t>1</w:t>
            </w:r>
            <w:r w:rsidR="00E040CC">
              <w:t>, Adam Bruton</w:t>
            </w:r>
            <w:r w:rsidR="00E040CC" w:rsidRPr="00E040CC">
              <w:rPr>
                <w:vertAlign w:val="superscript"/>
              </w:rPr>
              <w:t>1</w:t>
            </w:r>
          </w:p>
          <w:p w14:paraId="0495C06F" w14:textId="00040B2A" w:rsidR="00E040CC" w:rsidRDefault="00E040CC" w:rsidP="00FD25D1">
            <w:pPr>
              <w:spacing w:after="0" w:line="240" w:lineRule="auto"/>
            </w:pPr>
          </w:p>
          <w:p w14:paraId="362CFD82" w14:textId="4D2BD947" w:rsidR="00E040CC" w:rsidRDefault="00E040CC" w:rsidP="00FD25D1">
            <w:pPr>
              <w:spacing w:after="0" w:line="240" w:lineRule="auto"/>
            </w:pPr>
            <w:r w:rsidRPr="00E040CC">
              <w:rPr>
                <w:vertAlign w:val="superscript"/>
              </w:rPr>
              <w:t>1</w:t>
            </w:r>
            <w:r>
              <w:t xml:space="preserve">University of Roehampton, </w:t>
            </w:r>
            <w:r w:rsidRPr="00E040CC">
              <w:rPr>
                <w:vertAlign w:val="superscript"/>
              </w:rPr>
              <w:t>2</w:t>
            </w:r>
            <w:r>
              <w:t xml:space="preserve">Manchester Metropolitan University, </w:t>
            </w:r>
            <w:r w:rsidRPr="00E040CC">
              <w:rPr>
                <w:vertAlign w:val="superscript"/>
              </w:rPr>
              <w:t>3</w:t>
            </w:r>
            <w:r>
              <w:t>Osnabr</w:t>
            </w:r>
            <w:r>
              <w:rPr>
                <w:rFonts w:cstheme="minorHAnsi"/>
              </w:rPr>
              <w:t>ü</w:t>
            </w:r>
            <w:r>
              <w:t xml:space="preserve">ck University, </w:t>
            </w:r>
            <w:r w:rsidRPr="00E040CC">
              <w:rPr>
                <w:vertAlign w:val="superscript"/>
              </w:rPr>
              <w:t>4</w:t>
            </w:r>
            <w:r>
              <w:t xml:space="preserve">Teesside University, </w:t>
            </w:r>
            <w:r w:rsidRPr="00E040CC">
              <w:rPr>
                <w:vertAlign w:val="superscript"/>
              </w:rPr>
              <w:t>5</w:t>
            </w:r>
            <w:r>
              <w:t>University of South Wales</w:t>
            </w:r>
          </w:p>
          <w:p w14:paraId="46EC61AC" w14:textId="77777777" w:rsidR="00E040CC" w:rsidRPr="00E040CC" w:rsidRDefault="00E040CC" w:rsidP="00FD25D1">
            <w:pPr>
              <w:spacing w:after="0" w:line="240" w:lineRule="auto"/>
            </w:pPr>
          </w:p>
          <w:p w14:paraId="4BAB865D" w14:textId="51140570" w:rsidR="00FD25D1" w:rsidRPr="005A09F2" w:rsidRDefault="00E040CC" w:rsidP="00FD25D1">
            <w:pPr>
              <w:spacing w:after="0"/>
            </w:pPr>
            <w:r>
              <w:t>Cortic</w:t>
            </w:r>
            <w:r w:rsidR="0065537F">
              <w:t>ospin</w:t>
            </w:r>
            <w:r>
              <w:t xml:space="preserve">al </w:t>
            </w:r>
            <w:r w:rsidR="00FD25D1" w:rsidRPr="005A09F2">
              <w:t>Effects of Combined Action Observation and Motor Imagery: A Meta-Analysis</w:t>
            </w:r>
          </w:p>
        </w:tc>
      </w:tr>
      <w:tr w:rsidR="00FD25D1" w14:paraId="5E909200" w14:textId="3B985A91" w:rsidTr="007F1060">
        <w:tc>
          <w:tcPr>
            <w:tcW w:w="1271" w:type="dxa"/>
          </w:tcPr>
          <w:p w14:paraId="74473BAC" w14:textId="23D6884B" w:rsidR="00FD25D1" w:rsidRPr="00561D78" w:rsidRDefault="00FD25D1" w:rsidP="00FD25D1">
            <w:pPr>
              <w:spacing w:after="0"/>
            </w:pPr>
            <w:r w:rsidRPr="00561D78">
              <w:t>2.45 – 3.1</w:t>
            </w:r>
            <w:r>
              <w:t>0</w:t>
            </w:r>
          </w:p>
        </w:tc>
        <w:tc>
          <w:tcPr>
            <w:tcW w:w="9214" w:type="dxa"/>
          </w:tcPr>
          <w:p w14:paraId="5DDD4391" w14:textId="23883B3A" w:rsidR="00E040CC" w:rsidRDefault="00E040CC" w:rsidP="00E040CC">
            <w:pPr>
              <w:spacing w:after="0" w:line="240" w:lineRule="auto"/>
            </w:pPr>
            <w:r w:rsidRPr="00E040CC">
              <w:rPr>
                <w:b/>
              </w:rPr>
              <w:t>Samantha Chye</w:t>
            </w:r>
            <w:r w:rsidRPr="00E040CC">
              <w:rPr>
                <w:vertAlign w:val="superscript"/>
              </w:rPr>
              <w:t>1</w:t>
            </w:r>
            <w:r w:rsidRPr="00E040CC">
              <w:t>, Ashika Chembila-Valappil</w:t>
            </w:r>
            <w:r w:rsidRPr="00E040CC">
              <w:rPr>
                <w:vertAlign w:val="superscript"/>
              </w:rPr>
              <w:t>1</w:t>
            </w:r>
            <w:r w:rsidRPr="00E040CC">
              <w:t xml:space="preserve">, </w:t>
            </w:r>
            <w:r>
              <w:t>David Wright</w:t>
            </w:r>
            <w:r w:rsidRPr="00E040CC">
              <w:rPr>
                <w:vertAlign w:val="superscript"/>
              </w:rPr>
              <w:t>2</w:t>
            </w:r>
            <w:r>
              <w:t>, Cornelia Frank</w:t>
            </w:r>
            <w:r w:rsidRPr="00E040CC">
              <w:rPr>
                <w:vertAlign w:val="superscript"/>
              </w:rPr>
              <w:t>3</w:t>
            </w:r>
            <w:r>
              <w:t>, Daniel Eaves</w:t>
            </w:r>
            <w:r w:rsidRPr="00E040CC">
              <w:rPr>
                <w:vertAlign w:val="superscript"/>
              </w:rPr>
              <w:t>4</w:t>
            </w:r>
            <w:r>
              <w:t>, David Shearer</w:t>
            </w:r>
            <w:r w:rsidRPr="00E040CC">
              <w:rPr>
                <w:vertAlign w:val="superscript"/>
              </w:rPr>
              <w:t>5</w:t>
            </w:r>
            <w:r>
              <w:t>, Chris Tyler</w:t>
            </w:r>
            <w:r w:rsidRPr="00E040CC">
              <w:rPr>
                <w:vertAlign w:val="superscript"/>
              </w:rPr>
              <w:t>1</w:t>
            </w:r>
            <w:r>
              <w:t>, Ceri Diss</w:t>
            </w:r>
            <w:r w:rsidRPr="00E040CC">
              <w:rPr>
                <w:vertAlign w:val="superscript"/>
              </w:rPr>
              <w:t>1</w:t>
            </w:r>
            <w:r>
              <w:t>, Omar Mian</w:t>
            </w:r>
            <w:r w:rsidRPr="00E040CC">
              <w:rPr>
                <w:vertAlign w:val="superscript"/>
              </w:rPr>
              <w:t>1</w:t>
            </w:r>
            <w:r>
              <w:t>, Neale Tillin</w:t>
            </w:r>
            <w:r w:rsidRPr="00E040CC">
              <w:rPr>
                <w:vertAlign w:val="superscript"/>
              </w:rPr>
              <w:t>1</w:t>
            </w:r>
            <w:r>
              <w:t>, Adam Bruton</w:t>
            </w:r>
            <w:r w:rsidRPr="00E040CC">
              <w:rPr>
                <w:vertAlign w:val="superscript"/>
              </w:rPr>
              <w:t>1</w:t>
            </w:r>
          </w:p>
          <w:p w14:paraId="0C75EBF8" w14:textId="77777777" w:rsidR="00E040CC" w:rsidRDefault="00E040CC" w:rsidP="00E040CC">
            <w:pPr>
              <w:spacing w:after="0" w:line="240" w:lineRule="auto"/>
            </w:pPr>
          </w:p>
          <w:p w14:paraId="22EA37DA" w14:textId="77777777" w:rsidR="00E040CC" w:rsidRDefault="00E040CC" w:rsidP="00E040CC">
            <w:pPr>
              <w:spacing w:after="0" w:line="240" w:lineRule="auto"/>
            </w:pPr>
            <w:r w:rsidRPr="00E040CC">
              <w:rPr>
                <w:vertAlign w:val="superscript"/>
              </w:rPr>
              <w:t>1</w:t>
            </w:r>
            <w:r>
              <w:t xml:space="preserve">University of Roehampton, </w:t>
            </w:r>
            <w:r w:rsidRPr="00E040CC">
              <w:rPr>
                <w:vertAlign w:val="superscript"/>
              </w:rPr>
              <w:t>2</w:t>
            </w:r>
            <w:r>
              <w:t xml:space="preserve">Manchester Metropolitan University, </w:t>
            </w:r>
            <w:r w:rsidRPr="00E040CC">
              <w:rPr>
                <w:vertAlign w:val="superscript"/>
              </w:rPr>
              <w:t>3</w:t>
            </w:r>
            <w:r>
              <w:t>Osnabr</w:t>
            </w:r>
            <w:r>
              <w:rPr>
                <w:rFonts w:cstheme="minorHAnsi"/>
              </w:rPr>
              <w:t>ü</w:t>
            </w:r>
            <w:r>
              <w:t xml:space="preserve">ck University, </w:t>
            </w:r>
            <w:r w:rsidRPr="00E040CC">
              <w:rPr>
                <w:vertAlign w:val="superscript"/>
              </w:rPr>
              <w:t>4</w:t>
            </w:r>
            <w:r>
              <w:t xml:space="preserve">Teesside University, </w:t>
            </w:r>
            <w:r w:rsidRPr="00E040CC">
              <w:rPr>
                <w:vertAlign w:val="superscript"/>
              </w:rPr>
              <w:t>5</w:t>
            </w:r>
            <w:r>
              <w:t>University of South Wales</w:t>
            </w:r>
          </w:p>
          <w:p w14:paraId="160FD666" w14:textId="77777777" w:rsidR="00E040CC" w:rsidRDefault="00E040CC" w:rsidP="00FD25D1">
            <w:pPr>
              <w:spacing w:after="0" w:line="240" w:lineRule="auto"/>
            </w:pPr>
          </w:p>
          <w:p w14:paraId="1FAD833E" w14:textId="0E6D66DD" w:rsidR="00FD25D1" w:rsidRPr="005A09F2" w:rsidRDefault="00FD25D1" w:rsidP="00FD25D1">
            <w:pPr>
              <w:spacing w:after="0" w:line="240" w:lineRule="auto"/>
            </w:pPr>
            <w:r w:rsidRPr="005A09F2">
              <w:t>Behavioral Effects of Combined Action Observation and Motor Imagery: A Meta-</w:t>
            </w:r>
            <w:r>
              <w:t>A</w:t>
            </w:r>
            <w:r w:rsidRPr="005A09F2">
              <w:t>nalysis</w:t>
            </w:r>
          </w:p>
        </w:tc>
      </w:tr>
      <w:tr w:rsidR="00FD25D1" w14:paraId="17322CD0" w14:textId="0403C444" w:rsidTr="007F1060">
        <w:tc>
          <w:tcPr>
            <w:tcW w:w="1271" w:type="dxa"/>
          </w:tcPr>
          <w:p w14:paraId="6B3DF7D8" w14:textId="7F59171B" w:rsidR="00FD25D1" w:rsidRPr="00561D78" w:rsidRDefault="00FD25D1" w:rsidP="00FD25D1">
            <w:pPr>
              <w:spacing w:after="0"/>
            </w:pPr>
            <w:r w:rsidRPr="00561D78">
              <w:t>3.15 –</w:t>
            </w:r>
            <w:r>
              <w:t xml:space="preserve"> 3.40</w:t>
            </w:r>
          </w:p>
        </w:tc>
        <w:tc>
          <w:tcPr>
            <w:tcW w:w="9214" w:type="dxa"/>
          </w:tcPr>
          <w:p w14:paraId="4359FE3F" w14:textId="49E38BA2" w:rsidR="00FD25D1" w:rsidRDefault="00FD25D1" w:rsidP="00FD25D1">
            <w:pPr>
              <w:spacing w:after="0"/>
            </w:pPr>
            <w:r w:rsidRPr="007B3E50">
              <w:rPr>
                <w:b/>
              </w:rPr>
              <w:t xml:space="preserve">Mohamed </w:t>
            </w:r>
            <w:proofErr w:type="spellStart"/>
            <w:r w:rsidRPr="007B3E50">
              <w:rPr>
                <w:b/>
              </w:rPr>
              <w:t>Mohamed</w:t>
            </w:r>
            <w:proofErr w:type="spellEnd"/>
            <w:r>
              <w:t>, David Wright</w:t>
            </w:r>
          </w:p>
          <w:p w14:paraId="3970A10A" w14:textId="77777777" w:rsidR="00FD25D1" w:rsidRPr="007F1060" w:rsidRDefault="00FD25D1" w:rsidP="00FD25D1">
            <w:pPr>
              <w:spacing w:after="0"/>
              <w:rPr>
                <w:sz w:val="16"/>
                <w:szCs w:val="16"/>
              </w:rPr>
            </w:pPr>
          </w:p>
          <w:p w14:paraId="60B7DAFF" w14:textId="30DED8A5" w:rsidR="00FD25D1" w:rsidRDefault="00FD25D1" w:rsidP="00FD25D1">
            <w:pPr>
              <w:spacing w:after="0"/>
            </w:pPr>
            <w:r>
              <w:t>Manchester Metropolitan University</w:t>
            </w:r>
          </w:p>
          <w:p w14:paraId="702A0DE0" w14:textId="77777777" w:rsidR="00FD25D1" w:rsidRPr="007F1060" w:rsidRDefault="00FD25D1" w:rsidP="00FD25D1">
            <w:pPr>
              <w:spacing w:after="0"/>
              <w:rPr>
                <w:sz w:val="16"/>
                <w:szCs w:val="16"/>
              </w:rPr>
            </w:pPr>
          </w:p>
          <w:p w14:paraId="6E7B9C90" w14:textId="77777777" w:rsidR="00FD25D1" w:rsidRPr="005A09F2" w:rsidRDefault="00FD25D1" w:rsidP="00FD25D1">
            <w:pPr>
              <w:spacing w:after="0"/>
            </w:pPr>
            <w:r w:rsidRPr="005A09F2">
              <w:t>The influence of visual perspective on corticospinal excitability during AO+MI</w:t>
            </w:r>
          </w:p>
        </w:tc>
      </w:tr>
      <w:tr w:rsidR="00FD25D1" w14:paraId="2B989429" w14:textId="0404E174" w:rsidTr="007F1060">
        <w:trPr>
          <w:trHeight w:val="654"/>
        </w:trPr>
        <w:tc>
          <w:tcPr>
            <w:tcW w:w="1271" w:type="dxa"/>
          </w:tcPr>
          <w:p w14:paraId="7AEDDBA2" w14:textId="6530E19C" w:rsidR="00FD25D1" w:rsidRPr="00561D78" w:rsidRDefault="00FD25D1" w:rsidP="00FD25D1">
            <w:pPr>
              <w:spacing w:after="0"/>
            </w:pPr>
            <w:r>
              <w:t>3.45 – 4.10</w:t>
            </w:r>
          </w:p>
        </w:tc>
        <w:tc>
          <w:tcPr>
            <w:tcW w:w="9214" w:type="dxa"/>
          </w:tcPr>
          <w:p w14:paraId="120FDF46" w14:textId="186345B6" w:rsidR="00FD25D1" w:rsidRDefault="00FD25D1" w:rsidP="00FD25D1">
            <w:pPr>
              <w:spacing w:after="0"/>
            </w:pPr>
            <w:r w:rsidRPr="007B3E50">
              <w:rPr>
                <w:b/>
              </w:rPr>
              <w:t>Khalid Ahmed</w:t>
            </w:r>
            <w:r>
              <w:t>, David Wright</w:t>
            </w:r>
          </w:p>
          <w:p w14:paraId="337609FF" w14:textId="526A3BED" w:rsidR="00FD25D1" w:rsidRPr="00D55560" w:rsidRDefault="00FD25D1" w:rsidP="00FD25D1">
            <w:pPr>
              <w:spacing w:after="0"/>
              <w:rPr>
                <w:sz w:val="16"/>
                <w:szCs w:val="16"/>
              </w:rPr>
            </w:pPr>
          </w:p>
          <w:p w14:paraId="5089C717" w14:textId="2F23985D" w:rsidR="00FD25D1" w:rsidRDefault="00FD25D1" w:rsidP="00FD25D1">
            <w:pPr>
              <w:spacing w:after="0"/>
            </w:pPr>
            <w:r>
              <w:t>Manchester Metropolitan University</w:t>
            </w:r>
          </w:p>
          <w:p w14:paraId="4BEF61D7" w14:textId="77777777" w:rsidR="00FD25D1" w:rsidRPr="00D55560" w:rsidRDefault="00FD25D1" w:rsidP="00FD25D1">
            <w:pPr>
              <w:spacing w:after="0"/>
              <w:rPr>
                <w:sz w:val="16"/>
                <w:szCs w:val="16"/>
              </w:rPr>
            </w:pPr>
          </w:p>
          <w:p w14:paraId="05F53901" w14:textId="3D5EBDEC" w:rsidR="00FD25D1" w:rsidRPr="005A09F2" w:rsidRDefault="00FD25D1" w:rsidP="00FD25D1">
            <w:pPr>
              <w:spacing w:after="0"/>
            </w:pPr>
            <w:r w:rsidRPr="005A09F2">
              <w:t>Examining the relationship between imagery ability and corticospinal excitability during AO+MI</w:t>
            </w:r>
          </w:p>
        </w:tc>
      </w:tr>
    </w:tbl>
    <w:p w14:paraId="0D01CCEC" w14:textId="6561EE76" w:rsidR="00561D78" w:rsidRDefault="00561D78">
      <w:pPr>
        <w:rPr>
          <w:b/>
        </w:rPr>
      </w:pPr>
      <w:r>
        <w:rPr>
          <w:b/>
        </w:rPr>
        <w:lastRenderedPageBreak/>
        <w:t>Friday 16</w:t>
      </w:r>
      <w:r w:rsidRPr="00561D78">
        <w:rPr>
          <w:b/>
          <w:vertAlign w:val="superscript"/>
        </w:rPr>
        <w:t>th</w:t>
      </w:r>
      <w:r>
        <w:rPr>
          <w:b/>
        </w:rPr>
        <w:t xml:space="preserve"> April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9214"/>
      </w:tblGrid>
      <w:tr w:rsidR="007B3E50" w14:paraId="0E3BF636" w14:textId="1B939D4B" w:rsidTr="007F1060">
        <w:tc>
          <w:tcPr>
            <w:tcW w:w="1271" w:type="dxa"/>
          </w:tcPr>
          <w:p w14:paraId="191F3C33" w14:textId="77777777" w:rsidR="007B3E50" w:rsidRPr="00407D1C" w:rsidRDefault="007B3E50" w:rsidP="005332D8">
            <w:pPr>
              <w:spacing w:after="0" w:line="240" w:lineRule="auto"/>
              <w:rPr>
                <w:b/>
              </w:rPr>
            </w:pPr>
            <w:r w:rsidRPr="00407D1C">
              <w:rPr>
                <w:b/>
              </w:rPr>
              <w:t>Time</w:t>
            </w:r>
          </w:p>
          <w:p w14:paraId="5E55286C" w14:textId="77777777" w:rsidR="007B3E50" w:rsidRPr="00407D1C" w:rsidRDefault="007B3E50" w:rsidP="005332D8">
            <w:pPr>
              <w:spacing w:after="0" w:line="240" w:lineRule="auto"/>
              <w:rPr>
                <w:b/>
              </w:rPr>
            </w:pPr>
            <w:r w:rsidRPr="00407D1C">
              <w:rPr>
                <w:b/>
              </w:rPr>
              <w:t>(UK Time)</w:t>
            </w:r>
          </w:p>
        </w:tc>
        <w:tc>
          <w:tcPr>
            <w:tcW w:w="9214" w:type="dxa"/>
          </w:tcPr>
          <w:p w14:paraId="03FCA469" w14:textId="77777777" w:rsidR="007B3E50" w:rsidRPr="00407D1C" w:rsidRDefault="007B3E50" w:rsidP="005332D8">
            <w:pPr>
              <w:rPr>
                <w:b/>
              </w:rPr>
            </w:pPr>
            <w:r w:rsidRPr="00407D1C">
              <w:rPr>
                <w:b/>
              </w:rPr>
              <w:t>Presentation</w:t>
            </w:r>
          </w:p>
        </w:tc>
      </w:tr>
      <w:tr w:rsidR="007B3E50" w14:paraId="21DE716A" w14:textId="4466EA18" w:rsidTr="007F1060">
        <w:tc>
          <w:tcPr>
            <w:tcW w:w="1271" w:type="dxa"/>
          </w:tcPr>
          <w:p w14:paraId="2D613396" w14:textId="541191D3" w:rsidR="007B3E50" w:rsidRPr="00407D1C" w:rsidRDefault="007B3E50" w:rsidP="00022DF4">
            <w:pPr>
              <w:spacing w:after="0" w:line="240" w:lineRule="auto"/>
            </w:pPr>
            <w:r>
              <w:t>2.30 – 2.45</w:t>
            </w:r>
          </w:p>
        </w:tc>
        <w:tc>
          <w:tcPr>
            <w:tcW w:w="9214" w:type="dxa"/>
          </w:tcPr>
          <w:p w14:paraId="0504BD4A" w14:textId="0A9DC8E5" w:rsidR="007B3E50" w:rsidRPr="00407D1C" w:rsidRDefault="007B3E50" w:rsidP="00022DF4">
            <w:pPr>
              <w:spacing w:after="0" w:line="240" w:lineRule="auto"/>
            </w:pPr>
            <w:r w:rsidRPr="00407D1C">
              <w:t>Welcome and Introduction</w:t>
            </w:r>
            <w:r>
              <w:t xml:space="preserve"> </w:t>
            </w:r>
            <w:r w:rsidRPr="007B3E50">
              <w:rPr>
                <w:color w:val="FF0000"/>
              </w:rPr>
              <w:t>(Please note the slightly later start time to accommodate time differences)</w:t>
            </w:r>
          </w:p>
        </w:tc>
      </w:tr>
      <w:tr w:rsidR="007B3E50" w14:paraId="54878115" w14:textId="2951E432" w:rsidTr="007F1060">
        <w:tc>
          <w:tcPr>
            <w:tcW w:w="1271" w:type="dxa"/>
          </w:tcPr>
          <w:p w14:paraId="6DB1A574" w14:textId="2FBB77F1" w:rsidR="007B3E50" w:rsidRPr="00407D1C" w:rsidRDefault="00FD25D1" w:rsidP="007B3E50">
            <w:pPr>
              <w:spacing w:after="0" w:line="240" w:lineRule="auto"/>
            </w:pPr>
            <w:r>
              <w:t>2.45 – 3.10</w:t>
            </w:r>
          </w:p>
        </w:tc>
        <w:tc>
          <w:tcPr>
            <w:tcW w:w="9214" w:type="dxa"/>
          </w:tcPr>
          <w:p w14:paraId="3D1714A9" w14:textId="77777777" w:rsidR="009322B0" w:rsidRDefault="009322B0" w:rsidP="009322B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322B0">
              <w:rPr>
                <w:rFonts w:ascii="Calibri" w:hAnsi="Calibri" w:cs="Calibri"/>
                <w:b/>
                <w:color w:val="000000"/>
              </w:rPr>
              <w:t>Jack Solomon</w:t>
            </w:r>
            <w:r>
              <w:rPr>
                <w:rFonts w:ascii="Calibri" w:hAnsi="Calibri" w:cs="Calibri"/>
                <w:color w:val="000000"/>
              </w:rPr>
              <w:t>, Austin Hurst, Shaun Boe</w:t>
            </w:r>
          </w:p>
          <w:p w14:paraId="39805D01" w14:textId="77777777" w:rsidR="009322B0" w:rsidRDefault="009322B0" w:rsidP="009322B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C7CBF64" w14:textId="77777777" w:rsidR="009322B0" w:rsidRDefault="009322B0" w:rsidP="009322B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Dalhousie University</w:t>
            </w:r>
          </w:p>
          <w:p w14:paraId="28C71282" w14:textId="77777777" w:rsidR="009322B0" w:rsidRPr="00407D1C" w:rsidRDefault="009322B0" w:rsidP="009322B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8B93733" w14:textId="781DBB06" w:rsidR="007B3E50" w:rsidRPr="00407D1C" w:rsidRDefault="009322B0" w:rsidP="009322B0">
            <w:pPr>
              <w:spacing w:after="0" w:line="240" w:lineRule="auto"/>
            </w:pPr>
            <w:r w:rsidRPr="00407D1C">
              <w:rPr>
                <w:rFonts w:ascii="Calibri" w:hAnsi="Calibri" w:cs="Calibri"/>
                <w:color w:val="000000"/>
              </w:rPr>
              <w:t>Exploring error detection and correction in motor imagery</w:t>
            </w:r>
          </w:p>
        </w:tc>
      </w:tr>
      <w:tr w:rsidR="007B3E50" w14:paraId="7A39DD85" w14:textId="78775BAA" w:rsidTr="007F1060">
        <w:tc>
          <w:tcPr>
            <w:tcW w:w="1271" w:type="dxa"/>
          </w:tcPr>
          <w:p w14:paraId="6D6FEF7F" w14:textId="2B222B3C" w:rsidR="007B3E50" w:rsidRPr="00407D1C" w:rsidRDefault="00FD25D1" w:rsidP="007B3E50">
            <w:pPr>
              <w:spacing w:after="0" w:line="240" w:lineRule="auto"/>
            </w:pPr>
            <w:r>
              <w:t>3.15 – 3.40</w:t>
            </w:r>
          </w:p>
        </w:tc>
        <w:tc>
          <w:tcPr>
            <w:tcW w:w="9214" w:type="dxa"/>
          </w:tcPr>
          <w:p w14:paraId="00C8B1B9" w14:textId="5E4089AD" w:rsidR="009322B0" w:rsidRDefault="009322B0" w:rsidP="009322B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 w:rsidRPr="009322B0"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  <w:lang w:val="de-DE"/>
              </w:rPr>
              <w:t xml:space="preserve">Beverley </w:t>
            </w:r>
            <w:proofErr w:type="spellStart"/>
            <w:r w:rsidRPr="009322B0">
              <w:rPr>
                <w:rStyle w:val="normaltextrun"/>
                <w:rFonts w:ascii="Calibri" w:hAnsi="Calibri" w:cs="Calibri"/>
                <w:b/>
                <w:color w:val="000000"/>
                <w:shd w:val="clear" w:color="auto" w:fill="FFFFFF"/>
                <w:lang w:val="de-DE"/>
              </w:rPr>
              <w:t>Larssen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, Anthony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Sze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, Sarah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Kraeutner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, Nicola Hodges</w:t>
            </w:r>
          </w:p>
          <w:p w14:paraId="2E56AB99" w14:textId="77777777" w:rsidR="009322B0" w:rsidRDefault="009322B0" w:rsidP="009322B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</w:p>
          <w:p w14:paraId="4E01D88F" w14:textId="77777777" w:rsidR="009322B0" w:rsidRDefault="009322B0" w:rsidP="009322B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University of British Columbia</w:t>
            </w:r>
          </w:p>
          <w:p w14:paraId="37DDD255" w14:textId="77777777" w:rsidR="009322B0" w:rsidRDefault="009322B0" w:rsidP="009322B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</w:p>
          <w:p w14:paraId="17D24F53" w14:textId="53DAEA15" w:rsidR="007B3E50" w:rsidRPr="00407D1C" w:rsidRDefault="009322B0" w:rsidP="009322B0">
            <w:pPr>
              <w:spacing w:after="0" w:line="240" w:lineRule="auto"/>
            </w:pPr>
            <w:r w:rsidRPr="00407D1C">
              <w:rPr>
                <w:rFonts w:ascii="Calibri" w:hAnsi="Calibri" w:cs="Calibri"/>
                <w:color w:val="000000"/>
              </w:rPr>
              <w:t>Learning from others’ mistakes: differential effects of observing target errors versus adaptation errors for adaptation processes</w:t>
            </w:r>
          </w:p>
        </w:tc>
      </w:tr>
      <w:tr w:rsidR="007B3E50" w14:paraId="29E188DF" w14:textId="432763CE" w:rsidTr="007F1060">
        <w:tc>
          <w:tcPr>
            <w:tcW w:w="1271" w:type="dxa"/>
          </w:tcPr>
          <w:p w14:paraId="18F42444" w14:textId="0F198093" w:rsidR="007B3E50" w:rsidRPr="00407D1C" w:rsidRDefault="007B3E50" w:rsidP="007B3E50">
            <w:pPr>
              <w:spacing w:after="0" w:line="240" w:lineRule="auto"/>
            </w:pPr>
            <w:r>
              <w:t>3.45 – 4.</w:t>
            </w:r>
            <w:r w:rsidR="00FD25D1">
              <w:t>10</w:t>
            </w:r>
          </w:p>
        </w:tc>
        <w:tc>
          <w:tcPr>
            <w:tcW w:w="9214" w:type="dxa"/>
          </w:tcPr>
          <w:p w14:paraId="691FFC5F" w14:textId="282B5B73" w:rsidR="007B3E50" w:rsidRDefault="007B3E50" w:rsidP="007B3E5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proofErr w:type="spellStart"/>
            <w:r w:rsidRPr="009322B0">
              <w:rPr>
                <w:rFonts w:ascii="Calibri" w:hAnsi="Calibri" w:cs="Calibri"/>
                <w:b/>
                <w:color w:val="000000"/>
              </w:rPr>
              <w:t>Devyani</w:t>
            </w:r>
            <w:proofErr w:type="spellEnd"/>
            <w:r w:rsidRPr="009322B0">
              <w:rPr>
                <w:rFonts w:ascii="Calibri" w:hAnsi="Calibri" w:cs="Calibri"/>
                <w:b/>
                <w:color w:val="000000"/>
              </w:rPr>
              <w:t xml:space="preserve"> McLaren</w:t>
            </w:r>
            <w:r w:rsidR="009322B0">
              <w:rPr>
                <w:rFonts w:ascii="Calibri" w:hAnsi="Calibri" w:cs="Calibri"/>
                <w:color w:val="000000"/>
              </w:rPr>
              <w:t xml:space="preserve">, </w:t>
            </w:r>
            <w:r w:rsidR="009322B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Sarah </w:t>
            </w:r>
            <w:proofErr w:type="spellStart"/>
            <w:r w:rsidR="009322B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Kraeutner</w:t>
            </w:r>
            <w:proofErr w:type="spellEnd"/>
            <w:r w:rsidR="009322B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, Lara Boyd</w:t>
            </w:r>
          </w:p>
          <w:p w14:paraId="226024EB" w14:textId="5D75128D" w:rsidR="009322B0" w:rsidRDefault="009322B0" w:rsidP="007B3E5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</w:p>
          <w:p w14:paraId="6F559A7D" w14:textId="76E1585D" w:rsidR="009322B0" w:rsidRDefault="009322B0" w:rsidP="007B3E5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de-DE"/>
              </w:rPr>
              <w:t>University of British Columbia</w:t>
            </w:r>
          </w:p>
          <w:p w14:paraId="2CD1232B" w14:textId="77777777" w:rsidR="009322B0" w:rsidRPr="00407D1C" w:rsidRDefault="009322B0" w:rsidP="007B3E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B21C725" w14:textId="77777777" w:rsidR="007B3E50" w:rsidRPr="00407D1C" w:rsidRDefault="007B3E50" w:rsidP="007B3E50">
            <w:pPr>
              <w:spacing w:after="0" w:line="240" w:lineRule="auto"/>
            </w:pPr>
            <w:r w:rsidRPr="00407D1C">
              <w:rPr>
                <w:rFonts w:ascii="Calibri" w:hAnsi="Calibri" w:cs="Calibri"/>
                <w:color w:val="000000"/>
              </w:rPr>
              <w:t xml:space="preserve">Investigating the Impact of Motor Imagery Training on Proprioception </w:t>
            </w:r>
          </w:p>
        </w:tc>
      </w:tr>
    </w:tbl>
    <w:p w14:paraId="4C4C8FDA" w14:textId="46C09D4A" w:rsidR="00561D78" w:rsidRDefault="00561D78">
      <w:pPr>
        <w:rPr>
          <w:b/>
        </w:rPr>
      </w:pPr>
    </w:p>
    <w:p w14:paraId="30378AEB" w14:textId="69018B78" w:rsidR="00561D78" w:rsidRDefault="00561D78">
      <w:pPr>
        <w:rPr>
          <w:b/>
        </w:rPr>
      </w:pPr>
      <w:r>
        <w:rPr>
          <w:b/>
        </w:rPr>
        <w:t>Friday 23</w:t>
      </w:r>
      <w:r w:rsidRPr="00561D78">
        <w:rPr>
          <w:b/>
          <w:vertAlign w:val="superscript"/>
        </w:rPr>
        <w:t>rd</w:t>
      </w:r>
      <w:r>
        <w:rPr>
          <w:b/>
        </w:rPr>
        <w:t xml:space="preserve"> April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9322B0" w14:paraId="32DCEE09" w14:textId="0827FC09" w:rsidTr="007F1060">
        <w:tc>
          <w:tcPr>
            <w:tcW w:w="1271" w:type="dxa"/>
          </w:tcPr>
          <w:p w14:paraId="5DD9225A" w14:textId="77777777" w:rsidR="009322B0" w:rsidRDefault="009322B0" w:rsidP="005332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14:paraId="6E07AD63" w14:textId="77777777" w:rsidR="009322B0" w:rsidRDefault="009322B0" w:rsidP="005332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(UK Time)</w:t>
            </w:r>
          </w:p>
        </w:tc>
        <w:tc>
          <w:tcPr>
            <w:tcW w:w="9214" w:type="dxa"/>
          </w:tcPr>
          <w:p w14:paraId="37938EE0" w14:textId="77777777" w:rsidR="009322B0" w:rsidRDefault="009322B0" w:rsidP="005332D8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9322B0" w14:paraId="457605C4" w14:textId="764B9FBE" w:rsidTr="007F1060">
        <w:tc>
          <w:tcPr>
            <w:tcW w:w="1271" w:type="dxa"/>
          </w:tcPr>
          <w:p w14:paraId="60A48DC2" w14:textId="77777777" w:rsidR="009322B0" w:rsidRPr="00561D78" w:rsidRDefault="009322B0" w:rsidP="005332D8">
            <w:r w:rsidRPr="00561D78">
              <w:t>2.00 – 2.15</w:t>
            </w:r>
          </w:p>
        </w:tc>
        <w:tc>
          <w:tcPr>
            <w:tcW w:w="9214" w:type="dxa"/>
          </w:tcPr>
          <w:p w14:paraId="23DF380D" w14:textId="77777777" w:rsidR="009322B0" w:rsidRPr="00561D78" w:rsidRDefault="009322B0" w:rsidP="005332D8">
            <w:r w:rsidRPr="00561D78">
              <w:t>Welcome and Introduction</w:t>
            </w:r>
          </w:p>
        </w:tc>
      </w:tr>
      <w:tr w:rsidR="009322B0" w14:paraId="1444539B" w14:textId="7955098A" w:rsidTr="007F1060">
        <w:tc>
          <w:tcPr>
            <w:tcW w:w="1271" w:type="dxa"/>
          </w:tcPr>
          <w:p w14:paraId="5BC80F23" w14:textId="6591E138" w:rsidR="009322B0" w:rsidRPr="00561D78" w:rsidRDefault="00FD25D1" w:rsidP="00E7347C">
            <w:pPr>
              <w:spacing w:after="0" w:line="240" w:lineRule="auto"/>
            </w:pPr>
            <w:r>
              <w:t>2.15 – 3.15</w:t>
            </w:r>
          </w:p>
        </w:tc>
        <w:tc>
          <w:tcPr>
            <w:tcW w:w="9214" w:type="dxa"/>
          </w:tcPr>
          <w:p w14:paraId="7BD9A070" w14:textId="2B785017" w:rsidR="009322B0" w:rsidRPr="0065537F" w:rsidRDefault="009322B0" w:rsidP="009322B0">
            <w:pPr>
              <w:spacing w:after="0" w:line="240" w:lineRule="auto"/>
              <w:rPr>
                <w:b/>
                <w:bCs/>
              </w:rPr>
            </w:pPr>
            <w:r w:rsidRPr="0065537F">
              <w:rPr>
                <w:b/>
                <w:bCs/>
              </w:rPr>
              <w:t>Jacqueline Williams</w:t>
            </w:r>
          </w:p>
          <w:p w14:paraId="41A5403F" w14:textId="7B9E8C12" w:rsidR="009322B0" w:rsidRDefault="009322B0" w:rsidP="009322B0">
            <w:pPr>
              <w:spacing w:after="0" w:line="240" w:lineRule="auto"/>
            </w:pPr>
          </w:p>
          <w:p w14:paraId="0C7090EB" w14:textId="6E4DD4B9" w:rsidR="009322B0" w:rsidRDefault="009322B0" w:rsidP="009322B0">
            <w:pPr>
              <w:spacing w:after="0" w:line="240" w:lineRule="auto"/>
            </w:pPr>
            <w:r>
              <w:t>Victoria University</w:t>
            </w:r>
          </w:p>
          <w:p w14:paraId="6752E4E1" w14:textId="77777777" w:rsidR="009322B0" w:rsidRDefault="009322B0" w:rsidP="009322B0">
            <w:pPr>
              <w:spacing w:after="0" w:line="240" w:lineRule="auto"/>
            </w:pPr>
          </w:p>
          <w:p w14:paraId="1537AF14" w14:textId="66ECF4CD" w:rsidR="009322B0" w:rsidRPr="00AD5BC7" w:rsidRDefault="009322B0" w:rsidP="009322B0">
            <w:pPr>
              <w:spacing w:after="0" w:line="240" w:lineRule="auto"/>
            </w:pPr>
            <w:r w:rsidRPr="00AD5BC7">
              <w:rPr>
                <w:lang w:val="en-AU"/>
              </w:rPr>
              <w:t>The chicken or the egg? Motor imagery deficits and movement impairment in Developmental Coordination Disorder</w:t>
            </w:r>
          </w:p>
        </w:tc>
      </w:tr>
      <w:tr w:rsidR="009322B0" w14:paraId="551C5414" w14:textId="3998904C" w:rsidTr="007F1060">
        <w:tc>
          <w:tcPr>
            <w:tcW w:w="1271" w:type="dxa"/>
          </w:tcPr>
          <w:p w14:paraId="1C4823C6" w14:textId="0D64815D" w:rsidR="009322B0" w:rsidRPr="00561D78" w:rsidRDefault="00FD25D1" w:rsidP="00E7347C">
            <w:pPr>
              <w:spacing w:after="0" w:line="240" w:lineRule="auto"/>
            </w:pPr>
            <w:r>
              <w:t>3.20 – 3.45</w:t>
            </w:r>
          </w:p>
        </w:tc>
        <w:tc>
          <w:tcPr>
            <w:tcW w:w="9214" w:type="dxa"/>
          </w:tcPr>
          <w:p w14:paraId="0E3E8E8D" w14:textId="2391B517" w:rsidR="009322B0" w:rsidRPr="0065537F" w:rsidRDefault="009322B0" w:rsidP="009322B0">
            <w:pPr>
              <w:spacing w:after="0" w:line="240" w:lineRule="auto"/>
              <w:rPr>
                <w:b/>
                <w:bCs/>
              </w:rPr>
            </w:pPr>
            <w:r w:rsidRPr="0065537F">
              <w:rPr>
                <w:b/>
                <w:bCs/>
              </w:rPr>
              <w:t>Matthew Scott</w:t>
            </w:r>
            <w:r w:rsidRPr="009824C0">
              <w:rPr>
                <w:bCs/>
                <w:vertAlign w:val="superscript"/>
              </w:rPr>
              <w:t>1</w:t>
            </w:r>
            <w:r w:rsidRPr="009824C0">
              <w:rPr>
                <w:bCs/>
              </w:rPr>
              <w:t>, Lewis McGoldrick</w:t>
            </w:r>
            <w:r w:rsidRPr="009824C0">
              <w:rPr>
                <w:bCs/>
                <w:vertAlign w:val="superscript"/>
              </w:rPr>
              <w:t>2</w:t>
            </w:r>
            <w:r w:rsidRPr="009824C0">
              <w:rPr>
                <w:bCs/>
              </w:rPr>
              <w:t>, Jonathan Emerson</w:t>
            </w:r>
            <w:r w:rsidRPr="009824C0">
              <w:rPr>
                <w:bCs/>
                <w:vertAlign w:val="superscript"/>
              </w:rPr>
              <w:t>2</w:t>
            </w:r>
            <w:r w:rsidRPr="009824C0">
              <w:rPr>
                <w:bCs/>
              </w:rPr>
              <w:t>, Daniel Eaves</w:t>
            </w:r>
            <w:r w:rsidRPr="009824C0">
              <w:rPr>
                <w:bCs/>
                <w:vertAlign w:val="superscript"/>
              </w:rPr>
              <w:t>2</w:t>
            </w:r>
          </w:p>
          <w:p w14:paraId="7FAE52FC" w14:textId="5DB298FD" w:rsidR="009322B0" w:rsidRDefault="009322B0" w:rsidP="009322B0">
            <w:pPr>
              <w:spacing w:after="0" w:line="240" w:lineRule="auto"/>
            </w:pPr>
          </w:p>
          <w:p w14:paraId="27A3FD1A" w14:textId="69CF3C20" w:rsidR="009322B0" w:rsidRDefault="009322B0" w:rsidP="009322B0">
            <w:pPr>
              <w:spacing w:after="0" w:line="240" w:lineRule="auto"/>
            </w:pPr>
            <w:r w:rsidRPr="009322B0">
              <w:rPr>
                <w:vertAlign w:val="superscript"/>
              </w:rPr>
              <w:t>1</w:t>
            </w:r>
            <w:r>
              <w:t xml:space="preserve">Manchester Metropolitan University, </w:t>
            </w:r>
            <w:r w:rsidRPr="009322B0">
              <w:rPr>
                <w:vertAlign w:val="superscript"/>
              </w:rPr>
              <w:t>2</w:t>
            </w:r>
            <w:r>
              <w:t>Teesside University</w:t>
            </w:r>
          </w:p>
          <w:p w14:paraId="0DCB097D" w14:textId="4137A86C" w:rsidR="009322B0" w:rsidRDefault="009322B0" w:rsidP="009322B0">
            <w:pPr>
              <w:spacing w:after="0" w:line="240" w:lineRule="auto"/>
            </w:pPr>
          </w:p>
          <w:p w14:paraId="57BEFDD2" w14:textId="3B698306" w:rsidR="009322B0" w:rsidRPr="00561D78" w:rsidRDefault="009322B0" w:rsidP="009322B0">
            <w:pPr>
              <w:spacing w:after="0" w:line="240" w:lineRule="auto"/>
            </w:pPr>
            <w:r>
              <w:rPr>
                <w:rFonts w:ascii="Calibri" w:hAnsi="Calibri" w:cs="Calibri"/>
              </w:rPr>
              <w:t>Priming of reach trajectory when observing and imagining actions</w:t>
            </w:r>
          </w:p>
        </w:tc>
      </w:tr>
      <w:tr w:rsidR="009322B0" w14:paraId="71652642" w14:textId="77777777" w:rsidTr="007F1060">
        <w:tc>
          <w:tcPr>
            <w:tcW w:w="1271" w:type="dxa"/>
          </w:tcPr>
          <w:p w14:paraId="1A318801" w14:textId="01681F8D" w:rsidR="009322B0" w:rsidRPr="00561D78" w:rsidRDefault="00FD25D1" w:rsidP="009322B0">
            <w:pPr>
              <w:spacing w:after="0" w:line="240" w:lineRule="auto"/>
            </w:pPr>
            <w:r>
              <w:t>3.50 – 4.15</w:t>
            </w:r>
          </w:p>
        </w:tc>
        <w:tc>
          <w:tcPr>
            <w:tcW w:w="9214" w:type="dxa"/>
          </w:tcPr>
          <w:p w14:paraId="54ED0169" w14:textId="0A16A7AD" w:rsidR="009322B0" w:rsidRPr="0065537F" w:rsidRDefault="009322B0" w:rsidP="009322B0">
            <w:pPr>
              <w:spacing w:after="0" w:line="240" w:lineRule="auto"/>
              <w:rPr>
                <w:b/>
                <w:bCs/>
              </w:rPr>
            </w:pPr>
            <w:r w:rsidRPr="0065537F">
              <w:rPr>
                <w:b/>
                <w:bCs/>
              </w:rPr>
              <w:t>Craig McAllister</w:t>
            </w:r>
            <w:r w:rsidRPr="009824C0">
              <w:rPr>
                <w:bCs/>
              </w:rPr>
              <w:t>, David Thomas, Jonathan Chantry, David Punt</w:t>
            </w:r>
          </w:p>
          <w:p w14:paraId="562CDF7B" w14:textId="12865351" w:rsidR="009322B0" w:rsidRDefault="009322B0" w:rsidP="009322B0">
            <w:pPr>
              <w:spacing w:after="0" w:line="240" w:lineRule="auto"/>
            </w:pPr>
          </w:p>
          <w:p w14:paraId="463717E7" w14:textId="6A9ACA13" w:rsidR="009322B0" w:rsidRDefault="009322B0" w:rsidP="009322B0">
            <w:pPr>
              <w:spacing w:after="0" w:line="240" w:lineRule="auto"/>
            </w:pPr>
            <w:r>
              <w:t>University of Birmingham</w:t>
            </w:r>
          </w:p>
          <w:p w14:paraId="4F471C4F" w14:textId="77777777" w:rsidR="009322B0" w:rsidRDefault="009322B0" w:rsidP="009322B0">
            <w:pPr>
              <w:spacing w:after="0" w:line="240" w:lineRule="auto"/>
            </w:pPr>
          </w:p>
          <w:p w14:paraId="793B4223" w14:textId="235C0DE3" w:rsidR="009322B0" w:rsidRDefault="009322B0" w:rsidP="009322B0">
            <w:pPr>
              <w:spacing w:after="0" w:line="240" w:lineRule="auto"/>
            </w:pPr>
            <w:r>
              <w:t>The effect of manipulations to hand posture on implicit motor imagery during the hand laterality recognition task</w:t>
            </w:r>
          </w:p>
        </w:tc>
      </w:tr>
      <w:tr w:rsidR="009824C0" w14:paraId="25C23904" w14:textId="77777777" w:rsidTr="007F1060">
        <w:tc>
          <w:tcPr>
            <w:tcW w:w="1271" w:type="dxa"/>
          </w:tcPr>
          <w:p w14:paraId="5D93EE9E" w14:textId="2E22EC24" w:rsidR="009824C0" w:rsidRDefault="009824C0" w:rsidP="009322B0">
            <w:pPr>
              <w:spacing w:after="0" w:line="240" w:lineRule="auto"/>
            </w:pPr>
            <w:r>
              <w:t>4.20 – 4.45</w:t>
            </w:r>
          </w:p>
        </w:tc>
        <w:tc>
          <w:tcPr>
            <w:tcW w:w="9214" w:type="dxa"/>
          </w:tcPr>
          <w:p w14:paraId="49B07C3A" w14:textId="68FD82DB" w:rsidR="009824C0" w:rsidRPr="003E5C9D" w:rsidRDefault="009824C0" w:rsidP="009824C0">
            <w:pPr>
              <w:spacing w:line="240" w:lineRule="auto"/>
              <w:rPr>
                <w:rFonts w:ascii="Calibri" w:hAnsi="Calibri" w:cs="Calibri"/>
              </w:rPr>
            </w:pPr>
            <w:r w:rsidRPr="003E5C9D">
              <w:rPr>
                <w:rFonts w:ascii="Calibri" w:hAnsi="Calibri" w:cs="Calibri"/>
                <w:b/>
              </w:rPr>
              <w:t>Deirdre Ryan</w:t>
            </w:r>
            <w:r w:rsidRPr="003E5C9D">
              <w:rPr>
                <w:rFonts w:ascii="Calibri" w:hAnsi="Calibri" w:cs="Calibri"/>
                <w:vertAlign w:val="superscript"/>
              </w:rPr>
              <w:t>1</w:t>
            </w:r>
            <w:r w:rsidRPr="003E5C9D">
              <w:rPr>
                <w:rFonts w:ascii="Calibri" w:hAnsi="Calibri" w:cs="Calibri"/>
              </w:rPr>
              <w:t xml:space="preserve">, </w:t>
            </w:r>
            <w:proofErr w:type="spellStart"/>
            <w:r w:rsidRPr="003E5C9D">
              <w:rPr>
                <w:rFonts w:ascii="Calibri" w:hAnsi="Calibri" w:cs="Calibri"/>
              </w:rPr>
              <w:t>Ebonie</w:t>
            </w:r>
            <w:proofErr w:type="spellEnd"/>
            <w:r w:rsidRPr="003E5C9D">
              <w:rPr>
                <w:rFonts w:ascii="Calibri" w:hAnsi="Calibri" w:cs="Calibri"/>
              </w:rPr>
              <w:t xml:space="preserve"> Rio</w:t>
            </w:r>
            <w:r w:rsidRPr="003E5C9D">
              <w:rPr>
                <w:rFonts w:ascii="Calibri" w:hAnsi="Calibri" w:cs="Calibri"/>
                <w:vertAlign w:val="superscript"/>
              </w:rPr>
              <w:t>2</w:t>
            </w:r>
            <w:r w:rsidRPr="003E5C9D">
              <w:rPr>
                <w:rFonts w:ascii="Calibri" w:hAnsi="Calibri" w:cs="Calibri"/>
              </w:rPr>
              <w:t xml:space="preserve">, </w:t>
            </w:r>
            <w:r w:rsidR="003E5C9D" w:rsidRPr="003E5C9D">
              <w:rPr>
                <w:rFonts w:ascii="Calibri" w:hAnsi="Calibri" w:cs="Calibri"/>
              </w:rPr>
              <w:t>Grainne O’Donoghue</w:t>
            </w:r>
            <w:r w:rsidR="003E5C9D" w:rsidRPr="003E5C9D">
              <w:rPr>
                <w:rFonts w:ascii="Calibri" w:hAnsi="Calibri" w:cs="Calibri"/>
                <w:vertAlign w:val="superscript"/>
              </w:rPr>
              <w:t>1</w:t>
            </w:r>
            <w:r w:rsidR="003E5C9D" w:rsidRPr="003E5C9D">
              <w:rPr>
                <w:rFonts w:ascii="Calibri" w:hAnsi="Calibri" w:cs="Calibri"/>
              </w:rPr>
              <w:t xml:space="preserve">, </w:t>
            </w:r>
            <w:r w:rsidRPr="003E5C9D">
              <w:rPr>
                <w:rFonts w:ascii="Calibri" w:hAnsi="Calibri" w:cs="Calibri"/>
              </w:rPr>
              <w:t>Cliona O’Sullivan</w:t>
            </w:r>
            <w:r w:rsidRPr="003E5C9D">
              <w:rPr>
                <w:rFonts w:ascii="Calibri" w:hAnsi="Calibri" w:cs="Calibri"/>
                <w:vertAlign w:val="superscript"/>
              </w:rPr>
              <w:t>1</w:t>
            </w:r>
          </w:p>
          <w:p w14:paraId="7C94A04B" w14:textId="77777777" w:rsidR="009824C0" w:rsidRPr="003E5C9D" w:rsidRDefault="009824C0" w:rsidP="009824C0">
            <w:pPr>
              <w:spacing w:after="0" w:line="240" w:lineRule="auto"/>
              <w:rPr>
                <w:rFonts w:ascii="Calibri" w:hAnsi="Calibri" w:cs="Calibri"/>
              </w:rPr>
            </w:pPr>
            <w:r w:rsidRPr="003E5C9D">
              <w:rPr>
                <w:rFonts w:ascii="Calibri" w:hAnsi="Calibri" w:cs="Calibri"/>
                <w:vertAlign w:val="superscript"/>
              </w:rPr>
              <w:t>1</w:t>
            </w:r>
            <w:r w:rsidRPr="003E5C9D">
              <w:rPr>
                <w:rFonts w:ascii="Calibri" w:hAnsi="Calibri" w:cs="Calibri"/>
              </w:rPr>
              <w:t xml:space="preserve">University College Dublin, </w:t>
            </w:r>
            <w:r w:rsidRPr="003E5C9D">
              <w:rPr>
                <w:rFonts w:ascii="Calibri" w:hAnsi="Calibri" w:cs="Calibri"/>
                <w:vertAlign w:val="superscript"/>
              </w:rPr>
              <w:t>2</w:t>
            </w:r>
            <w:r w:rsidRPr="003E5C9D">
              <w:rPr>
                <w:rFonts w:ascii="Calibri" w:hAnsi="Calibri" w:cs="Calibri"/>
              </w:rPr>
              <w:t>La Trobe University</w:t>
            </w:r>
          </w:p>
          <w:p w14:paraId="74E8EC3F" w14:textId="77777777" w:rsidR="009824C0" w:rsidRPr="009824C0" w:rsidRDefault="009824C0" w:rsidP="009824C0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F36009D" w14:textId="2F1C7CA9" w:rsidR="009824C0" w:rsidRPr="0065537F" w:rsidRDefault="009824C0" w:rsidP="009824C0">
            <w:pPr>
              <w:spacing w:after="0" w:line="240" w:lineRule="auto"/>
              <w:rPr>
                <w:b/>
                <w:bCs/>
              </w:rPr>
            </w:pPr>
            <w:r w:rsidRPr="009824C0">
              <w:rPr>
                <w:bCs/>
              </w:rPr>
              <w:t>Investigating the effect of combined action observation therapy and strengthening exercises in the treatment of mid-portion Achilles tendinopathy</w:t>
            </w:r>
          </w:p>
        </w:tc>
      </w:tr>
    </w:tbl>
    <w:p w14:paraId="4A1CC552" w14:textId="26BC357C" w:rsidR="007F1060" w:rsidRDefault="007F1060">
      <w:pPr>
        <w:rPr>
          <w:b/>
        </w:rPr>
      </w:pPr>
    </w:p>
    <w:p w14:paraId="1D5C8E9F" w14:textId="02D82290" w:rsidR="009824C0" w:rsidRDefault="009824C0">
      <w:pPr>
        <w:rPr>
          <w:b/>
        </w:rPr>
      </w:pPr>
    </w:p>
    <w:p w14:paraId="38B295A7" w14:textId="77777777" w:rsidR="009824C0" w:rsidRDefault="009824C0">
      <w:pPr>
        <w:rPr>
          <w:b/>
        </w:rPr>
      </w:pPr>
    </w:p>
    <w:p w14:paraId="09C291E8" w14:textId="2868F7B6" w:rsidR="00022DF4" w:rsidRPr="00022DF4" w:rsidRDefault="00022DF4" w:rsidP="00022DF4">
      <w:pPr>
        <w:rPr>
          <w:b/>
        </w:rPr>
      </w:pPr>
      <w:r>
        <w:rPr>
          <w:b/>
        </w:rPr>
        <w:t>Friday 30</w:t>
      </w:r>
      <w:r w:rsidRPr="00022DF4">
        <w:rPr>
          <w:b/>
          <w:vertAlign w:val="superscript"/>
        </w:rPr>
        <w:t>th</w:t>
      </w:r>
      <w:r w:rsidR="00407D1C">
        <w:rPr>
          <w:b/>
        </w:rPr>
        <w:t xml:space="preserve"> April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9214"/>
      </w:tblGrid>
      <w:tr w:rsidR="009322B0" w14:paraId="41BAA56B" w14:textId="423C6CB6" w:rsidTr="007F1060">
        <w:tc>
          <w:tcPr>
            <w:tcW w:w="1271" w:type="dxa"/>
          </w:tcPr>
          <w:p w14:paraId="08642583" w14:textId="77777777" w:rsidR="009322B0" w:rsidRDefault="009322B0" w:rsidP="005332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  <w:p w14:paraId="04FFB6DC" w14:textId="77777777" w:rsidR="009322B0" w:rsidRDefault="009322B0" w:rsidP="005332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(UK Time)</w:t>
            </w:r>
          </w:p>
        </w:tc>
        <w:tc>
          <w:tcPr>
            <w:tcW w:w="9214" w:type="dxa"/>
          </w:tcPr>
          <w:p w14:paraId="6116C619" w14:textId="77777777" w:rsidR="009322B0" w:rsidRDefault="009322B0" w:rsidP="005332D8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</w:tr>
      <w:tr w:rsidR="009322B0" w14:paraId="7B437427" w14:textId="2736A277" w:rsidTr="007F1060">
        <w:tc>
          <w:tcPr>
            <w:tcW w:w="1271" w:type="dxa"/>
          </w:tcPr>
          <w:p w14:paraId="531BD08D" w14:textId="4CFB1405" w:rsidR="009322B0" w:rsidRPr="00561D78" w:rsidRDefault="007F1060" w:rsidP="005332D8">
            <w:pPr>
              <w:spacing w:after="0" w:line="240" w:lineRule="auto"/>
            </w:pPr>
            <w:r>
              <w:t>2.00 – 5.00</w:t>
            </w:r>
          </w:p>
        </w:tc>
        <w:tc>
          <w:tcPr>
            <w:tcW w:w="9214" w:type="dxa"/>
          </w:tcPr>
          <w:p w14:paraId="7406560B" w14:textId="77777777" w:rsidR="00B3493A" w:rsidRDefault="00B3493A" w:rsidP="00B3493A">
            <w:pPr>
              <w:spacing w:after="0" w:line="240" w:lineRule="auto"/>
            </w:pPr>
            <w:r w:rsidRPr="0076012A">
              <w:rPr>
                <w:b/>
              </w:rPr>
              <w:t>Symposium</w:t>
            </w:r>
            <w:r>
              <w:rPr>
                <w:b/>
              </w:rPr>
              <w:t>:</w:t>
            </w:r>
            <w:r>
              <w:t xml:space="preserve"> A patient led approach to understanding cognitive representations of movement</w:t>
            </w:r>
          </w:p>
          <w:p w14:paraId="321FCF85" w14:textId="77777777" w:rsidR="00B3493A" w:rsidRDefault="00B3493A" w:rsidP="00B3493A">
            <w:pPr>
              <w:spacing w:after="0" w:line="240" w:lineRule="auto"/>
            </w:pPr>
          </w:p>
          <w:p w14:paraId="0968EDF9" w14:textId="77777777" w:rsidR="00B3493A" w:rsidRDefault="00B3493A" w:rsidP="00B3493A">
            <w:pPr>
              <w:spacing w:after="0" w:line="240" w:lineRule="auto"/>
            </w:pPr>
            <w:r>
              <w:t xml:space="preserve">Martin Edwards, Ellen Poliakoff, Giovanni </w:t>
            </w:r>
            <w:proofErr w:type="spellStart"/>
            <w:r>
              <w:t>Buccino</w:t>
            </w:r>
            <w:proofErr w:type="spellEnd"/>
            <w:r>
              <w:t xml:space="preserve">, Shaun Boe, Gilles </w:t>
            </w:r>
            <w:proofErr w:type="spellStart"/>
            <w:r>
              <w:t>Vannucorps</w:t>
            </w:r>
            <w:proofErr w:type="spellEnd"/>
          </w:p>
          <w:p w14:paraId="197E15F8" w14:textId="77777777" w:rsidR="00B3493A" w:rsidRDefault="00B3493A" w:rsidP="00B3493A">
            <w:pPr>
              <w:spacing w:after="0" w:line="240" w:lineRule="auto"/>
            </w:pPr>
          </w:p>
          <w:p w14:paraId="6D1C8C68" w14:textId="151D7A87" w:rsidR="00D55560" w:rsidRPr="00086ED8" w:rsidRDefault="00B3493A" w:rsidP="00B3493A">
            <w:pPr>
              <w:spacing w:after="0" w:line="240" w:lineRule="auto"/>
            </w:pPr>
            <w:r>
              <w:t>Further details relating to the titles of the talks will be provided soon</w:t>
            </w:r>
            <w:bookmarkStart w:id="0" w:name="_GoBack"/>
            <w:bookmarkEnd w:id="0"/>
          </w:p>
        </w:tc>
      </w:tr>
    </w:tbl>
    <w:p w14:paraId="69D224C0" w14:textId="77777777" w:rsidR="00022DF4" w:rsidRPr="00561D78" w:rsidRDefault="00022DF4">
      <w:pPr>
        <w:rPr>
          <w:b/>
        </w:rPr>
      </w:pPr>
    </w:p>
    <w:sectPr w:rsidR="00022DF4" w:rsidRPr="00561D78" w:rsidSect="007F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78"/>
    <w:rsid w:val="00022DF4"/>
    <w:rsid w:val="0005170B"/>
    <w:rsid w:val="00086ED8"/>
    <w:rsid w:val="000A1C4A"/>
    <w:rsid w:val="000C1C3B"/>
    <w:rsid w:val="00147F97"/>
    <w:rsid w:val="001727DA"/>
    <w:rsid w:val="0017390A"/>
    <w:rsid w:val="00211BF4"/>
    <w:rsid w:val="002A1BE1"/>
    <w:rsid w:val="002A4C16"/>
    <w:rsid w:val="002E196B"/>
    <w:rsid w:val="00314500"/>
    <w:rsid w:val="00316AE3"/>
    <w:rsid w:val="00396CD2"/>
    <w:rsid w:val="003C2614"/>
    <w:rsid w:val="003D77C1"/>
    <w:rsid w:val="003E5C9D"/>
    <w:rsid w:val="00407D1C"/>
    <w:rsid w:val="0042034B"/>
    <w:rsid w:val="0045379C"/>
    <w:rsid w:val="004A3CB5"/>
    <w:rsid w:val="004A7428"/>
    <w:rsid w:val="00516FAC"/>
    <w:rsid w:val="0052090F"/>
    <w:rsid w:val="00561D78"/>
    <w:rsid w:val="0059253F"/>
    <w:rsid w:val="005A09F2"/>
    <w:rsid w:val="00625C58"/>
    <w:rsid w:val="0065436E"/>
    <w:rsid w:val="0065537F"/>
    <w:rsid w:val="0073307F"/>
    <w:rsid w:val="00742E09"/>
    <w:rsid w:val="0076012A"/>
    <w:rsid w:val="007B3E50"/>
    <w:rsid w:val="007F1060"/>
    <w:rsid w:val="007F294D"/>
    <w:rsid w:val="0086128A"/>
    <w:rsid w:val="008A37FE"/>
    <w:rsid w:val="008A3C6B"/>
    <w:rsid w:val="008B4407"/>
    <w:rsid w:val="008F5838"/>
    <w:rsid w:val="009322B0"/>
    <w:rsid w:val="009824C0"/>
    <w:rsid w:val="009F4918"/>
    <w:rsid w:val="00A70C5D"/>
    <w:rsid w:val="00A955DB"/>
    <w:rsid w:val="00AA5BAC"/>
    <w:rsid w:val="00AD5BC7"/>
    <w:rsid w:val="00AE5C4E"/>
    <w:rsid w:val="00B02978"/>
    <w:rsid w:val="00B11529"/>
    <w:rsid w:val="00B3493A"/>
    <w:rsid w:val="00B6098D"/>
    <w:rsid w:val="00B86D33"/>
    <w:rsid w:val="00B87611"/>
    <w:rsid w:val="00B9487E"/>
    <w:rsid w:val="00BA4C71"/>
    <w:rsid w:val="00C27B81"/>
    <w:rsid w:val="00C64180"/>
    <w:rsid w:val="00C73677"/>
    <w:rsid w:val="00D15801"/>
    <w:rsid w:val="00D55560"/>
    <w:rsid w:val="00D55C40"/>
    <w:rsid w:val="00D56BDC"/>
    <w:rsid w:val="00D64FE5"/>
    <w:rsid w:val="00D905E3"/>
    <w:rsid w:val="00DD6235"/>
    <w:rsid w:val="00DE7BB5"/>
    <w:rsid w:val="00E040CC"/>
    <w:rsid w:val="00E7347C"/>
    <w:rsid w:val="00EC2ECB"/>
    <w:rsid w:val="00F45546"/>
    <w:rsid w:val="00F8675A"/>
    <w:rsid w:val="00FC1C93"/>
    <w:rsid w:val="00FC3428"/>
    <w:rsid w:val="00FC7828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8A70"/>
  <w15:chartTrackingRefBased/>
  <w15:docId w15:val="{6DE75EC7-A5A4-4304-8FEE-DF5DEB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D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61D78"/>
  </w:style>
  <w:style w:type="paragraph" w:customStyle="1" w:styleId="BodyA">
    <w:name w:val="Body A"/>
    <w:rsid w:val="00561D78"/>
    <w:pPr>
      <w:spacing w:line="256" w:lineRule="auto"/>
    </w:pPr>
    <w:rPr>
      <w:rFonts w:ascii="Calibri" w:eastAsia="Calibri" w:hAnsi="Calibri" w:cs="Calibri"/>
      <w:color w:val="000000"/>
      <w:u w:color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6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8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B4407"/>
  </w:style>
  <w:style w:type="character" w:customStyle="1" w:styleId="eop">
    <w:name w:val="eop"/>
    <w:basedOn w:val="DefaultParagraphFont"/>
    <w:rsid w:val="008B4407"/>
  </w:style>
  <w:style w:type="character" w:customStyle="1" w:styleId="spellingerror">
    <w:name w:val="spellingerror"/>
    <w:basedOn w:val="DefaultParagraphFont"/>
    <w:rsid w:val="008A37FE"/>
  </w:style>
  <w:style w:type="character" w:styleId="Hyperlink">
    <w:name w:val="Hyperlink"/>
    <w:basedOn w:val="DefaultParagraphFont"/>
    <w:uiPriority w:val="99"/>
    <w:unhideWhenUsed/>
    <w:rsid w:val="00655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.eaves@tee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nelia.frank@uni-osnabrueck.de" TargetMode="External"/><Relationship Id="rId5" Type="http://schemas.openxmlformats.org/officeDocument/2006/relationships/hyperlink" Target="mailto:adam.bruton@roehampton.ac.uk" TargetMode="External"/><Relationship Id="rId4" Type="http://schemas.openxmlformats.org/officeDocument/2006/relationships/hyperlink" Target="mailto:d.j.wright@mmu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Metropolitan University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Wright</dc:creator>
  <cp:keywords/>
  <dc:description/>
  <cp:lastModifiedBy>David Wright</cp:lastModifiedBy>
  <cp:revision>9</cp:revision>
  <dcterms:created xsi:type="dcterms:W3CDTF">2021-02-05T09:36:00Z</dcterms:created>
  <dcterms:modified xsi:type="dcterms:W3CDTF">2021-02-05T17:04:00Z</dcterms:modified>
</cp:coreProperties>
</file>